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70DDC" w14:textId="77777777" w:rsidR="000C4561" w:rsidRDefault="000C4561" w:rsidP="000C4561">
      <w:pPr>
        <w:pStyle w:val="Heading6ptArial"/>
        <w:jc w:val="left"/>
      </w:pPr>
      <w:bookmarkStart w:id="0" w:name="_Toc227617755"/>
      <w:bookmarkStart w:id="1" w:name="_Toc227624440"/>
      <w:bookmarkStart w:id="2" w:name="_Toc227624601"/>
      <w:bookmarkStart w:id="3" w:name="_Toc227625785"/>
      <w:r>
        <w:t>Wisconsin Department of Administration (DOA)</w:t>
      </w:r>
      <w:bookmarkEnd w:id="0"/>
      <w:bookmarkEnd w:id="1"/>
      <w:bookmarkEnd w:id="2"/>
      <w:bookmarkEnd w:id="3"/>
    </w:p>
    <w:p w14:paraId="280B830C" w14:textId="77777777" w:rsidR="000C4561" w:rsidRDefault="000C4561" w:rsidP="000C4561">
      <w:pPr>
        <w:pStyle w:val="Heading6ptArial"/>
        <w:jc w:val="left"/>
      </w:pPr>
      <w:bookmarkStart w:id="4" w:name="_Toc227617756"/>
      <w:bookmarkStart w:id="5" w:name="_Toc227624441"/>
      <w:bookmarkStart w:id="6" w:name="_Toc227624602"/>
      <w:bookmarkStart w:id="7" w:name="_Toc227625786"/>
      <w:r>
        <w:t>Division of Energy, Housing and Community Resources (DEHCR)</w:t>
      </w:r>
      <w:bookmarkEnd w:id="4"/>
      <w:bookmarkEnd w:id="5"/>
      <w:bookmarkEnd w:id="6"/>
      <w:bookmarkEnd w:id="7"/>
    </w:p>
    <w:p w14:paraId="5CAF19D5" w14:textId="6C016E85" w:rsidR="000C4561" w:rsidRDefault="00F86DDF" w:rsidP="000C4561">
      <w:pPr>
        <w:pStyle w:val="Heading6ptArial"/>
        <w:jc w:val="left"/>
      </w:pPr>
      <w:r w:rsidRPr="00CE63A1">
        <w:t>Housing Trust Fund</w:t>
      </w:r>
      <w:r w:rsidR="000C4561" w:rsidRPr="00CE63A1">
        <w:t xml:space="preserve"> (</w:t>
      </w:r>
      <w:r w:rsidRPr="00CE63A1">
        <w:t>HTF</w:t>
      </w:r>
      <w:r w:rsidR="000C4561" w:rsidRPr="00CE63A1">
        <w:t>) Program</w:t>
      </w:r>
    </w:p>
    <w:p w14:paraId="7EBBFCAA" w14:textId="77777777" w:rsidR="000C4561" w:rsidRDefault="000C4561" w:rsidP="000C4561">
      <w:pPr>
        <w:kinsoku w:val="0"/>
        <w:overflowPunct w:val="0"/>
        <w:autoSpaceDE w:val="0"/>
        <w:autoSpaceDN w:val="0"/>
        <w:adjustRightInd w:val="0"/>
        <w:spacing w:after="0" w:line="240" w:lineRule="auto"/>
        <w:rPr>
          <w:rFonts w:ascii="Arial" w:hAnsi="Arial" w:cs="Arial"/>
          <w:kern w:val="0"/>
        </w:rPr>
      </w:pPr>
    </w:p>
    <w:p w14:paraId="54326B47" w14:textId="0673A870" w:rsidR="00094176" w:rsidRPr="00CE63A1" w:rsidRDefault="00094176" w:rsidP="00094176">
      <w:pPr>
        <w:pStyle w:val="Heading1"/>
      </w:pPr>
      <w:r w:rsidRPr="00CE63A1">
        <w:t>EQUAL OPPORTUNITY / NON-D</w:t>
      </w:r>
      <w:r w:rsidR="00AD07AA" w:rsidRPr="00CE63A1">
        <w:t>I</w:t>
      </w:r>
      <w:r w:rsidRPr="00CE63A1">
        <w:t>SCRIMINATION</w:t>
      </w:r>
      <w:r w:rsidR="00954741" w:rsidRPr="00CE63A1">
        <w:t xml:space="preserve"> </w:t>
      </w:r>
      <w:r w:rsidRPr="00CE63A1">
        <w:t xml:space="preserve">CONTRACT CLAUSES FOR </w:t>
      </w:r>
      <w:r w:rsidR="00F86DDF" w:rsidRPr="00CE63A1">
        <w:t>HTF</w:t>
      </w:r>
      <w:r w:rsidRPr="00CE63A1">
        <w:t xml:space="preserve"> PROJECTS</w:t>
      </w:r>
      <w:r w:rsidR="005A11B5" w:rsidRPr="00CE63A1">
        <w:t xml:space="preserve"> (6-A)</w:t>
      </w:r>
    </w:p>
    <w:p w14:paraId="44B95D7C" w14:textId="77777777" w:rsidR="00094176" w:rsidRPr="00CE63A1" w:rsidRDefault="00094176" w:rsidP="00094176">
      <w:pPr>
        <w:kinsoku w:val="0"/>
        <w:overflowPunct w:val="0"/>
        <w:autoSpaceDE w:val="0"/>
        <w:autoSpaceDN w:val="0"/>
        <w:adjustRightInd w:val="0"/>
        <w:spacing w:after="0" w:line="240" w:lineRule="auto"/>
        <w:jc w:val="center"/>
        <w:rPr>
          <w:rFonts w:ascii="Arial" w:hAnsi="Arial" w:cs="Arial"/>
          <w:kern w:val="0"/>
        </w:rPr>
      </w:pPr>
    </w:p>
    <w:p w14:paraId="7768070E" w14:textId="18DD596A" w:rsidR="00130565" w:rsidRPr="00CE63A1" w:rsidRDefault="001774B5" w:rsidP="00094176">
      <w:pPr>
        <w:pStyle w:val="Heading2"/>
      </w:pPr>
      <w:r w:rsidRPr="00CE63A1">
        <w:t>FEDERAL EQUAL OPPORTUNITY</w:t>
      </w:r>
      <w:r w:rsidR="001E0FBD" w:rsidRPr="00CE63A1">
        <w:t xml:space="preserve"> </w:t>
      </w:r>
      <w:r w:rsidR="00F82087" w:rsidRPr="00CE63A1">
        <w:t>COMPLIANCE</w:t>
      </w:r>
    </w:p>
    <w:p w14:paraId="56B4B995" w14:textId="5806A45A" w:rsidR="00B77EB3" w:rsidRPr="00CE63A1" w:rsidRDefault="00B77EB3" w:rsidP="00094176">
      <w:pPr>
        <w:pStyle w:val="Heading2"/>
      </w:pPr>
      <w:r w:rsidRPr="00CE63A1">
        <w:t>CONTRACT</w:t>
      </w:r>
      <w:r w:rsidR="008F58E4" w:rsidRPr="00CE63A1">
        <w:t xml:space="preserve"> REQUIREMENTS</w:t>
      </w:r>
    </w:p>
    <w:p w14:paraId="6F7CB5DB" w14:textId="6F0A9C01" w:rsidR="00A30A4F" w:rsidRPr="00CE63A1" w:rsidRDefault="00A30A4F" w:rsidP="00A30A4F">
      <w:pPr>
        <w:kinsoku w:val="0"/>
        <w:overflowPunct w:val="0"/>
        <w:autoSpaceDE w:val="0"/>
        <w:autoSpaceDN w:val="0"/>
        <w:adjustRightInd w:val="0"/>
        <w:spacing w:before="83" w:after="0" w:line="240" w:lineRule="auto"/>
        <w:jc w:val="center"/>
        <w:rPr>
          <w:rFonts w:ascii="Arial" w:hAnsi="Arial" w:cs="Arial"/>
          <w:kern w:val="0"/>
          <w:sz w:val="20"/>
          <w:szCs w:val="20"/>
        </w:rPr>
      </w:pPr>
      <w:r w:rsidRPr="00CE63A1">
        <w:rPr>
          <w:rFonts w:ascii="Arial" w:hAnsi="Arial" w:cs="Arial"/>
          <w:kern w:val="0"/>
          <w:sz w:val="20"/>
          <w:szCs w:val="20"/>
        </w:rPr>
        <w:t xml:space="preserve">(Applicable to </w:t>
      </w:r>
      <w:r w:rsidR="009E7C7A" w:rsidRPr="00CE63A1">
        <w:rPr>
          <w:rFonts w:ascii="Arial" w:hAnsi="Arial" w:cs="Arial"/>
          <w:kern w:val="0"/>
          <w:sz w:val="20"/>
          <w:szCs w:val="20"/>
        </w:rPr>
        <w:t xml:space="preserve">prime </w:t>
      </w:r>
      <w:r w:rsidRPr="00CE63A1">
        <w:rPr>
          <w:rFonts w:ascii="Arial" w:hAnsi="Arial" w:cs="Arial"/>
          <w:kern w:val="0"/>
          <w:sz w:val="20"/>
          <w:szCs w:val="20"/>
        </w:rPr>
        <w:t>contracts</w:t>
      </w:r>
      <w:r w:rsidR="009E7C7A" w:rsidRPr="00CE63A1">
        <w:rPr>
          <w:rFonts w:ascii="Arial" w:hAnsi="Arial" w:cs="Arial"/>
          <w:kern w:val="0"/>
          <w:sz w:val="20"/>
          <w:szCs w:val="20"/>
        </w:rPr>
        <w:t xml:space="preserve"> and </w:t>
      </w:r>
      <w:r w:rsidRPr="00CE63A1">
        <w:rPr>
          <w:rFonts w:ascii="Arial" w:hAnsi="Arial" w:cs="Arial"/>
          <w:kern w:val="0"/>
          <w:sz w:val="20"/>
          <w:szCs w:val="20"/>
        </w:rPr>
        <w:t xml:space="preserve">subcontracts </w:t>
      </w:r>
      <w:r w:rsidR="00F82087" w:rsidRPr="00CE63A1">
        <w:rPr>
          <w:rFonts w:ascii="Arial" w:hAnsi="Arial" w:cs="Arial"/>
          <w:kern w:val="0"/>
          <w:sz w:val="20"/>
          <w:szCs w:val="20"/>
        </w:rPr>
        <w:t xml:space="preserve">for the </w:t>
      </w:r>
      <w:r w:rsidR="00F86DDF" w:rsidRPr="00CE63A1">
        <w:rPr>
          <w:rFonts w:ascii="Aptos" w:eastAsia="Times New Roman" w:hAnsi="Aptos" w:cs="Arial"/>
          <w:bCs/>
          <w:sz w:val="20"/>
          <w:szCs w:val="20"/>
        </w:rPr>
        <w:t>HTF</w:t>
      </w:r>
      <w:r w:rsidR="00F86DDF" w:rsidRPr="00CE63A1">
        <w:rPr>
          <w:rFonts w:ascii="Arial" w:hAnsi="Arial" w:cs="Arial"/>
          <w:kern w:val="0"/>
          <w:sz w:val="20"/>
          <w:szCs w:val="20"/>
        </w:rPr>
        <w:t xml:space="preserve"> </w:t>
      </w:r>
      <w:r w:rsidR="00F82087" w:rsidRPr="00CE63A1">
        <w:rPr>
          <w:rFonts w:ascii="Arial" w:hAnsi="Arial" w:cs="Arial"/>
          <w:kern w:val="0"/>
          <w:sz w:val="20"/>
          <w:szCs w:val="20"/>
        </w:rPr>
        <w:t>Project</w:t>
      </w:r>
      <w:r w:rsidRPr="00CE63A1">
        <w:rPr>
          <w:rFonts w:ascii="Arial" w:hAnsi="Arial" w:cs="Arial"/>
          <w:kern w:val="0"/>
          <w:sz w:val="20"/>
          <w:szCs w:val="20"/>
        </w:rPr>
        <w:t>)</w:t>
      </w:r>
    </w:p>
    <w:p w14:paraId="07A83492" w14:textId="01BDE1F5" w:rsidR="00F82087" w:rsidRPr="00CE63A1" w:rsidRDefault="00F82087" w:rsidP="00F82087">
      <w:pPr>
        <w:spacing w:after="0" w:line="240" w:lineRule="auto"/>
        <w:rPr>
          <w:color w:val="FF0000"/>
          <w:sz w:val="20"/>
          <w:szCs w:val="20"/>
        </w:rPr>
      </w:pPr>
    </w:p>
    <w:p w14:paraId="3E55D449" w14:textId="678DB7A4" w:rsidR="001E0FBD" w:rsidRPr="00CE63A1" w:rsidRDefault="001E0FBD" w:rsidP="004F4787">
      <w:pPr>
        <w:pStyle w:val="Heading3"/>
        <w:rPr>
          <w:rStyle w:val="Heading3Char"/>
          <w:rFonts w:ascii="Arial" w:hAnsi="Arial" w:cs="Arial"/>
          <w:b/>
          <w:bCs/>
          <w:szCs w:val="22"/>
        </w:rPr>
      </w:pPr>
      <w:bookmarkStart w:id="8" w:name="_Toc195113936"/>
      <w:r w:rsidRPr="00CE63A1">
        <w:rPr>
          <w:rStyle w:val="Heading3Char"/>
          <w:rFonts w:ascii="Arial" w:hAnsi="Arial" w:cs="Arial"/>
          <w:b/>
          <w:bCs/>
          <w:szCs w:val="22"/>
        </w:rPr>
        <w:t xml:space="preserve">Compliance with 24 CFR </w:t>
      </w:r>
      <w:r w:rsidR="00203368" w:rsidRPr="00CE63A1">
        <w:rPr>
          <w:rStyle w:val="Heading3Char"/>
          <w:rFonts w:ascii="Arial" w:hAnsi="Arial" w:cs="Arial"/>
          <w:b/>
          <w:bCs/>
          <w:szCs w:val="22"/>
        </w:rPr>
        <w:t>Part</w:t>
      </w:r>
      <w:r w:rsidR="00C80D90" w:rsidRPr="00CE63A1">
        <w:rPr>
          <w:rStyle w:val="Heading3Char"/>
          <w:rFonts w:ascii="Arial" w:hAnsi="Arial" w:cs="Arial"/>
          <w:b/>
          <w:bCs/>
          <w:szCs w:val="22"/>
        </w:rPr>
        <w:t xml:space="preserve"> </w:t>
      </w:r>
      <w:r w:rsidRPr="00CE63A1">
        <w:rPr>
          <w:rStyle w:val="Heading3Char"/>
          <w:rFonts w:ascii="Arial" w:hAnsi="Arial" w:cs="Arial"/>
          <w:b/>
          <w:bCs/>
          <w:szCs w:val="22"/>
        </w:rPr>
        <w:t xml:space="preserve">570.607 Employment </w:t>
      </w:r>
      <w:r w:rsidR="00C80D90" w:rsidRPr="00CE63A1">
        <w:rPr>
          <w:rStyle w:val="Heading3Char"/>
          <w:rFonts w:ascii="Arial" w:hAnsi="Arial" w:cs="Arial"/>
          <w:b/>
          <w:bCs/>
          <w:szCs w:val="22"/>
        </w:rPr>
        <w:t>&amp; C</w:t>
      </w:r>
      <w:r w:rsidRPr="00CE63A1">
        <w:rPr>
          <w:rStyle w:val="Heading3Char"/>
          <w:rFonts w:ascii="Arial" w:hAnsi="Arial" w:cs="Arial"/>
          <w:b/>
          <w:bCs/>
          <w:szCs w:val="22"/>
        </w:rPr>
        <w:t>o</w:t>
      </w:r>
      <w:r w:rsidR="00C80D90" w:rsidRPr="00CE63A1">
        <w:rPr>
          <w:rStyle w:val="Heading3Char"/>
          <w:rFonts w:ascii="Arial" w:hAnsi="Arial" w:cs="Arial"/>
          <w:b/>
          <w:bCs/>
          <w:szCs w:val="22"/>
        </w:rPr>
        <w:t>n</w:t>
      </w:r>
      <w:r w:rsidRPr="00CE63A1">
        <w:rPr>
          <w:rStyle w:val="Heading3Char"/>
          <w:rFonts w:ascii="Arial" w:hAnsi="Arial" w:cs="Arial"/>
          <w:b/>
          <w:bCs/>
          <w:szCs w:val="22"/>
        </w:rPr>
        <w:t xml:space="preserve">tracting </w:t>
      </w:r>
      <w:r w:rsidR="00C80D90" w:rsidRPr="00CE63A1">
        <w:rPr>
          <w:rStyle w:val="Heading3Char"/>
          <w:rFonts w:ascii="Arial" w:hAnsi="Arial" w:cs="Arial"/>
          <w:b/>
          <w:bCs/>
          <w:szCs w:val="22"/>
        </w:rPr>
        <w:t>O</w:t>
      </w:r>
      <w:r w:rsidRPr="00CE63A1">
        <w:rPr>
          <w:rStyle w:val="Heading3Char"/>
          <w:rFonts w:ascii="Arial" w:hAnsi="Arial" w:cs="Arial"/>
          <w:b/>
          <w:bCs/>
          <w:szCs w:val="22"/>
        </w:rPr>
        <w:t>pportunities</w:t>
      </w:r>
      <w:r w:rsidR="00872FED" w:rsidRPr="00CE63A1">
        <w:rPr>
          <w:rStyle w:val="Heading3Char"/>
          <w:rFonts w:ascii="Arial" w:hAnsi="Arial" w:cs="Arial"/>
          <w:b/>
          <w:bCs/>
          <w:szCs w:val="22"/>
        </w:rPr>
        <w:t xml:space="preserve"> Requirements</w:t>
      </w:r>
      <w:r w:rsidR="00C80D90" w:rsidRPr="00CE63A1">
        <w:rPr>
          <w:rStyle w:val="Heading3Char"/>
          <w:rFonts w:ascii="Arial" w:hAnsi="Arial" w:cs="Arial"/>
          <w:b/>
          <w:bCs/>
          <w:szCs w:val="22"/>
        </w:rPr>
        <w:t>:</w:t>
      </w:r>
    </w:p>
    <w:p w14:paraId="55457C6F" w14:textId="1F60A5BA" w:rsidR="001E0FBD" w:rsidRPr="00CE63A1" w:rsidRDefault="00C80D90" w:rsidP="001E0FBD">
      <w:pPr>
        <w:spacing w:after="0" w:line="240" w:lineRule="auto"/>
        <w:rPr>
          <w:rFonts w:eastAsia="Times New Roman" w:cs="Times New Roman"/>
          <w:kern w:val="0"/>
          <w:sz w:val="18"/>
          <w:szCs w:val="18"/>
          <w14:ligatures w14:val="none"/>
        </w:rPr>
      </w:pPr>
      <w:r w:rsidRPr="00CE63A1">
        <w:rPr>
          <w:rFonts w:eastAsia="Times New Roman" w:cs="Times New Roman"/>
          <w:kern w:val="0"/>
          <w:sz w:val="18"/>
          <w:szCs w:val="18"/>
          <w14:ligatures w14:val="none"/>
        </w:rPr>
        <w:t xml:space="preserve">In accordance with </w:t>
      </w:r>
      <w:hyperlink r:id="rId7" w:anchor="570.600" w:history="1">
        <w:r w:rsidRPr="00CE63A1">
          <w:rPr>
            <w:rStyle w:val="Hyperlink"/>
            <w:rFonts w:asciiTheme="minorHAnsi" w:eastAsia="Times New Roman" w:hAnsiTheme="minorHAnsi" w:cs="Times New Roman"/>
            <w:kern w:val="0"/>
            <w:szCs w:val="18"/>
            <w14:ligatures w14:val="none"/>
          </w:rPr>
          <w:t xml:space="preserve">24 CFR </w:t>
        </w:r>
        <w:r w:rsidR="00203368" w:rsidRPr="00CE63A1">
          <w:rPr>
            <w:rStyle w:val="Hyperlink"/>
            <w:rFonts w:asciiTheme="minorHAnsi" w:eastAsia="Times New Roman" w:hAnsiTheme="minorHAnsi" w:cs="Times New Roman"/>
            <w:kern w:val="0"/>
            <w:szCs w:val="18"/>
            <w14:ligatures w14:val="none"/>
          </w:rPr>
          <w:t>Part</w:t>
        </w:r>
        <w:r w:rsidRPr="00CE63A1">
          <w:rPr>
            <w:rStyle w:val="Hyperlink"/>
            <w:rFonts w:asciiTheme="minorHAnsi" w:eastAsia="Times New Roman" w:hAnsiTheme="minorHAnsi" w:cs="Times New Roman"/>
            <w:kern w:val="0"/>
            <w:szCs w:val="18"/>
            <w14:ligatures w14:val="none"/>
          </w:rPr>
          <w:t xml:space="preserve"> 570.607</w:t>
        </w:r>
      </w:hyperlink>
      <w:r w:rsidRPr="00CE63A1">
        <w:rPr>
          <w:rFonts w:eastAsia="Times New Roman" w:cs="Times New Roman"/>
          <w:kern w:val="0"/>
          <w:sz w:val="18"/>
          <w:szCs w:val="18"/>
          <w14:ligatures w14:val="none"/>
        </w:rPr>
        <w:t>, t</w:t>
      </w:r>
      <w:r w:rsidR="001E0FBD" w:rsidRPr="00CE63A1">
        <w:rPr>
          <w:rFonts w:eastAsia="Times New Roman" w:cs="Times New Roman"/>
          <w:kern w:val="0"/>
          <w:sz w:val="18"/>
          <w:szCs w:val="18"/>
          <w14:ligatures w14:val="none"/>
        </w:rPr>
        <w:t>o the extent that they are otherwise applicable,</w:t>
      </w:r>
      <w:r w:rsidRPr="00CE63A1">
        <w:rPr>
          <w:rFonts w:eastAsia="Times New Roman" w:cs="Times New Roman"/>
          <w:b/>
          <w:bCs/>
          <w:color w:val="ED0000"/>
          <w:kern w:val="0"/>
          <w:sz w:val="18"/>
          <w:szCs w:val="18"/>
          <w14:ligatures w14:val="none"/>
        </w:rPr>
        <w:t>*</w:t>
      </w:r>
      <w:r w:rsidR="001E0FBD" w:rsidRPr="00CE63A1">
        <w:rPr>
          <w:rFonts w:eastAsia="Times New Roman" w:cs="Times New Roman"/>
          <w:kern w:val="0"/>
          <w:sz w:val="18"/>
          <w:szCs w:val="18"/>
          <w14:ligatures w14:val="none"/>
        </w:rPr>
        <w:t xml:space="preserve"> grantees </w:t>
      </w:r>
      <w:r w:rsidRPr="00CE63A1">
        <w:rPr>
          <w:rFonts w:eastAsia="Times New Roman" w:cs="Times New Roman"/>
          <w:kern w:val="0"/>
          <w:sz w:val="18"/>
          <w:szCs w:val="18"/>
          <w14:ligatures w14:val="none"/>
        </w:rPr>
        <w:t xml:space="preserve">and their subrecipients, contractors and subcontractors </w:t>
      </w:r>
      <w:r w:rsidR="001E0FBD" w:rsidRPr="00CE63A1">
        <w:rPr>
          <w:rFonts w:eastAsia="Times New Roman" w:cs="Times New Roman"/>
          <w:kern w:val="0"/>
          <w:sz w:val="18"/>
          <w:szCs w:val="18"/>
          <w14:ligatures w14:val="none"/>
        </w:rPr>
        <w:t>shall comply with:</w:t>
      </w:r>
    </w:p>
    <w:p w14:paraId="65C39AE5" w14:textId="6FFF3AF2" w:rsidR="001E0FBD" w:rsidRPr="00CE63A1" w:rsidRDefault="001E0FBD" w:rsidP="001E0FBD">
      <w:pPr>
        <w:pStyle w:val="ListParagraph"/>
        <w:numPr>
          <w:ilvl w:val="0"/>
          <w:numId w:val="23"/>
        </w:numPr>
        <w:spacing w:after="0" w:line="240" w:lineRule="auto"/>
        <w:rPr>
          <w:rFonts w:eastAsia="Times New Roman" w:cs="Times New Roman"/>
          <w:kern w:val="0"/>
          <w:sz w:val="18"/>
          <w:szCs w:val="18"/>
          <w14:ligatures w14:val="none"/>
        </w:rPr>
      </w:pPr>
      <w:r w:rsidRPr="00CE63A1">
        <w:rPr>
          <w:rFonts w:eastAsia="Times New Roman" w:cs="Times New Roman"/>
          <w:kern w:val="0"/>
          <w:sz w:val="18"/>
          <w:szCs w:val="18"/>
          <w14:ligatures w14:val="none"/>
        </w:rPr>
        <w:t xml:space="preserve">Executive Order 11246, as amended by Executive Orders 11375, 11478, </w:t>
      </w:r>
      <w:r w:rsidRPr="00CE63A1">
        <w:rPr>
          <w:rFonts w:eastAsia="Times New Roman" w:cs="Times New Roman"/>
          <w:i/>
          <w:iCs/>
          <w:kern w:val="0"/>
          <w:sz w:val="18"/>
          <w:szCs w:val="18"/>
          <w14:ligatures w14:val="none"/>
        </w:rPr>
        <w:t>12086,</w:t>
      </w:r>
      <w:r w:rsidRPr="00CE63A1">
        <w:rPr>
          <w:rFonts w:eastAsia="Times New Roman" w:cs="Times New Roman"/>
          <w:kern w:val="0"/>
          <w:sz w:val="18"/>
          <w:szCs w:val="18"/>
          <w14:ligatures w14:val="none"/>
        </w:rPr>
        <w:t xml:space="preserve"> and 12107 (</w:t>
      </w:r>
      <w:hyperlink r:id="rId8" w:history="1">
        <w:r w:rsidRPr="00CE63A1">
          <w:rPr>
            <w:rStyle w:val="Hyperlink"/>
          </w:rPr>
          <w:t>3 CFR</w:t>
        </w:r>
      </w:hyperlink>
      <w:r w:rsidRPr="00CE63A1">
        <w:rPr>
          <w:rFonts w:eastAsia="Times New Roman" w:cs="Times New Roman"/>
          <w:kern w:val="0"/>
          <w:sz w:val="18"/>
          <w:szCs w:val="18"/>
          <w14:ligatures w14:val="none"/>
        </w:rPr>
        <w:t xml:space="preserve"> 1964-1965 Comp. p. 339; </w:t>
      </w:r>
      <w:hyperlink r:id="rId9" w:history="1">
        <w:r w:rsidRPr="00CE63A1">
          <w:rPr>
            <w:rStyle w:val="Hyperlink"/>
          </w:rPr>
          <w:t>3 CFR</w:t>
        </w:r>
      </w:hyperlink>
      <w:r w:rsidRPr="00CE63A1">
        <w:rPr>
          <w:rFonts w:eastAsia="Times New Roman" w:cs="Times New Roman"/>
          <w:kern w:val="0"/>
          <w:sz w:val="18"/>
          <w:szCs w:val="18"/>
          <w14:ligatures w14:val="none"/>
        </w:rPr>
        <w:t xml:space="preserve">, 1966-1970 Comp., p. 684; </w:t>
      </w:r>
      <w:hyperlink r:id="rId10" w:history="1">
        <w:r w:rsidRPr="00CE63A1">
          <w:rPr>
            <w:rStyle w:val="Hyperlink"/>
          </w:rPr>
          <w:t>3 CFR</w:t>
        </w:r>
      </w:hyperlink>
      <w:r w:rsidRPr="00CE63A1">
        <w:rPr>
          <w:rFonts w:eastAsia="Times New Roman" w:cs="Times New Roman"/>
          <w:kern w:val="0"/>
          <w:sz w:val="18"/>
          <w:szCs w:val="18"/>
          <w14:ligatures w14:val="none"/>
        </w:rPr>
        <w:t xml:space="preserve">, 1966-1970., p. 803; </w:t>
      </w:r>
      <w:hyperlink r:id="rId11" w:history="1">
        <w:r w:rsidRPr="00CE63A1">
          <w:rPr>
            <w:rStyle w:val="Hyperlink"/>
          </w:rPr>
          <w:t>3 CFR</w:t>
        </w:r>
      </w:hyperlink>
      <w:r w:rsidRPr="00CE63A1">
        <w:rPr>
          <w:rFonts w:eastAsia="Times New Roman" w:cs="Times New Roman"/>
          <w:kern w:val="0"/>
          <w:sz w:val="18"/>
          <w:szCs w:val="18"/>
          <w14:ligatures w14:val="none"/>
        </w:rPr>
        <w:t xml:space="preserve">, 1978 Comp., p. 230; </w:t>
      </w:r>
      <w:hyperlink r:id="rId12" w:history="1">
        <w:r w:rsidRPr="00CE63A1">
          <w:rPr>
            <w:rStyle w:val="Hyperlink"/>
          </w:rPr>
          <w:t>3 CFR</w:t>
        </w:r>
      </w:hyperlink>
      <w:r w:rsidRPr="00CE63A1">
        <w:rPr>
          <w:rFonts w:eastAsia="Times New Roman" w:cs="Times New Roman"/>
          <w:kern w:val="0"/>
          <w:sz w:val="18"/>
          <w:szCs w:val="18"/>
          <w14:ligatures w14:val="none"/>
        </w:rPr>
        <w:t xml:space="preserve">, 1978 Comp., p. 264 (Equal Employment Opportunity), and Executive Order 13279 (Equal Protection of the Laws for Faith-Based and Community Organizations), </w:t>
      </w:r>
      <w:hyperlink r:id="rId13" w:history="1">
        <w:r w:rsidRPr="00CE63A1">
          <w:rPr>
            <w:rStyle w:val="Hyperlink"/>
          </w:rPr>
          <w:t>67 FR 77141</w:t>
        </w:r>
      </w:hyperlink>
      <w:r w:rsidRPr="00CE63A1">
        <w:rPr>
          <w:rFonts w:eastAsia="Times New Roman" w:cs="Times New Roman"/>
          <w:kern w:val="0"/>
          <w:sz w:val="18"/>
          <w:szCs w:val="18"/>
          <w14:ligatures w14:val="none"/>
        </w:rPr>
        <w:t xml:space="preserve">, </w:t>
      </w:r>
      <w:hyperlink r:id="rId14" w:history="1">
        <w:r w:rsidRPr="00CE63A1">
          <w:rPr>
            <w:rStyle w:val="Hyperlink"/>
          </w:rPr>
          <w:t>3 CFR</w:t>
        </w:r>
      </w:hyperlink>
      <w:r w:rsidRPr="00CE63A1">
        <w:rPr>
          <w:rFonts w:eastAsia="Times New Roman" w:cs="Times New Roman"/>
          <w:kern w:val="0"/>
          <w:sz w:val="18"/>
          <w:szCs w:val="18"/>
          <w14:ligatures w14:val="none"/>
        </w:rPr>
        <w:t xml:space="preserve">, 2002 Comp., p. 258; and the implementing regulations at </w:t>
      </w:r>
      <w:hyperlink r:id="rId15" w:history="1">
        <w:r w:rsidRPr="00CE63A1">
          <w:rPr>
            <w:rStyle w:val="Hyperlink"/>
          </w:rPr>
          <w:t xml:space="preserve">41 CFR </w:t>
        </w:r>
        <w:r w:rsidR="00203368" w:rsidRPr="00CE63A1">
          <w:rPr>
            <w:rStyle w:val="Hyperlink"/>
          </w:rPr>
          <w:t xml:space="preserve">Part </w:t>
        </w:r>
        <w:r w:rsidRPr="00CE63A1">
          <w:rPr>
            <w:rStyle w:val="Hyperlink"/>
          </w:rPr>
          <w:t>60</w:t>
        </w:r>
      </w:hyperlink>
    </w:p>
    <w:p w14:paraId="7DC809EE" w14:textId="2021DE9F" w:rsidR="001225D8" w:rsidRPr="00CE63A1" w:rsidRDefault="00F82087" w:rsidP="004F4787">
      <w:pPr>
        <w:pStyle w:val="Heading3"/>
      </w:pPr>
      <w:r w:rsidRPr="00CE63A1">
        <w:t xml:space="preserve">Compliance with Civil Rights </w:t>
      </w:r>
      <w:r w:rsidR="001E0FBD" w:rsidRPr="00CE63A1">
        <w:t xml:space="preserve">Act </w:t>
      </w:r>
      <w:r w:rsidR="00C80D90" w:rsidRPr="00CE63A1">
        <w:t xml:space="preserve">of 1964 </w:t>
      </w:r>
      <w:r w:rsidRPr="00CE63A1">
        <w:t>Requirements</w:t>
      </w:r>
      <w:bookmarkEnd w:id="8"/>
      <w:r w:rsidRPr="00CE63A1">
        <w:t>:  </w:t>
      </w:r>
    </w:p>
    <w:p w14:paraId="5AF58C72" w14:textId="5C78E971" w:rsidR="00F82087" w:rsidRPr="00CE63A1" w:rsidRDefault="00F82087" w:rsidP="001E0FBD">
      <w:pPr>
        <w:spacing w:after="120" w:line="240" w:lineRule="auto"/>
        <w:rPr>
          <w:sz w:val="18"/>
          <w:szCs w:val="18"/>
        </w:rPr>
      </w:pPr>
      <w:r w:rsidRPr="00CE63A1">
        <w:rPr>
          <w:sz w:val="18"/>
          <w:szCs w:val="18"/>
        </w:rPr>
        <w:t>The following equal opportunity and Civil Rights compliance laws</w:t>
      </w:r>
      <w:r w:rsidR="00C80D90" w:rsidRPr="00CE63A1">
        <w:rPr>
          <w:b/>
          <w:bCs/>
          <w:color w:val="C00000"/>
          <w:sz w:val="18"/>
          <w:szCs w:val="18"/>
        </w:rPr>
        <w:t>*</w:t>
      </w:r>
      <w:r w:rsidRPr="00CE63A1">
        <w:rPr>
          <w:sz w:val="18"/>
          <w:szCs w:val="18"/>
        </w:rPr>
        <w:t xml:space="preserve"> for which the associated requirements apply to </w:t>
      </w:r>
      <w:r w:rsidR="00F86DDF" w:rsidRPr="00CE63A1">
        <w:rPr>
          <w:rFonts w:ascii="Aptos" w:eastAsia="Times New Roman" w:hAnsi="Aptos" w:cs="Arial"/>
          <w:bCs/>
          <w:sz w:val="18"/>
          <w:szCs w:val="18"/>
        </w:rPr>
        <w:t>HTF</w:t>
      </w:r>
      <w:r w:rsidR="00F86DDF" w:rsidRPr="00CE63A1">
        <w:rPr>
          <w:sz w:val="18"/>
          <w:szCs w:val="18"/>
        </w:rPr>
        <w:t xml:space="preserve"> </w:t>
      </w:r>
      <w:r w:rsidRPr="00CE63A1">
        <w:rPr>
          <w:sz w:val="18"/>
          <w:szCs w:val="18"/>
        </w:rPr>
        <w:t>project contracts:</w:t>
      </w:r>
    </w:p>
    <w:p w14:paraId="1919CF3A" w14:textId="45592D28" w:rsidR="00F82087" w:rsidRPr="00CE63A1" w:rsidRDefault="00F82087" w:rsidP="00076263">
      <w:pPr>
        <w:pStyle w:val="ListParagraph"/>
        <w:numPr>
          <w:ilvl w:val="0"/>
          <w:numId w:val="18"/>
        </w:numPr>
        <w:spacing w:after="0" w:line="240" w:lineRule="auto"/>
        <w:rPr>
          <w:sz w:val="18"/>
          <w:szCs w:val="18"/>
        </w:rPr>
      </w:pPr>
      <w:r w:rsidRPr="00CE63A1">
        <w:rPr>
          <w:sz w:val="18"/>
          <w:szCs w:val="18"/>
        </w:rPr>
        <w:t>Executive Order 1</w:t>
      </w:r>
      <w:r w:rsidR="00F340D2" w:rsidRPr="00CE63A1">
        <w:rPr>
          <w:sz w:val="18"/>
          <w:szCs w:val="18"/>
        </w:rPr>
        <w:t>1246</w:t>
      </w:r>
      <w:r w:rsidR="00F340D2" w:rsidRPr="00CE63A1">
        <w:rPr>
          <w:rFonts w:eastAsia="Times New Roman" w:cs="Times New Roman"/>
          <w:kern w:val="0"/>
          <w:sz w:val="18"/>
          <w:szCs w:val="18"/>
          <w14:ligatures w14:val="none"/>
        </w:rPr>
        <w:t xml:space="preserve"> (as amended by EO 11375, EO 11478, EO </w:t>
      </w:r>
      <w:r w:rsidR="00F340D2" w:rsidRPr="00CE63A1">
        <w:rPr>
          <w:rFonts w:eastAsia="Times New Roman" w:cs="Times New Roman"/>
          <w:i/>
          <w:iCs/>
          <w:kern w:val="0"/>
          <w:sz w:val="18"/>
          <w:szCs w:val="18"/>
          <w14:ligatures w14:val="none"/>
        </w:rPr>
        <w:t>12086,</w:t>
      </w:r>
      <w:r w:rsidR="00F340D2" w:rsidRPr="00CE63A1">
        <w:rPr>
          <w:rFonts w:eastAsia="Times New Roman" w:cs="Times New Roman"/>
          <w:kern w:val="0"/>
          <w:sz w:val="18"/>
          <w:szCs w:val="18"/>
          <w14:ligatures w14:val="none"/>
        </w:rPr>
        <w:t xml:space="preserve"> EO 12107)</w:t>
      </w:r>
    </w:p>
    <w:p w14:paraId="7F16FC51" w14:textId="77777777" w:rsidR="00F82087" w:rsidRPr="00CE63A1" w:rsidRDefault="00F82087" w:rsidP="00076263">
      <w:pPr>
        <w:pStyle w:val="ListParagraph"/>
        <w:numPr>
          <w:ilvl w:val="0"/>
          <w:numId w:val="18"/>
        </w:numPr>
        <w:spacing w:after="0" w:line="240" w:lineRule="auto"/>
        <w:rPr>
          <w:sz w:val="18"/>
          <w:szCs w:val="18"/>
        </w:rPr>
      </w:pPr>
      <w:r w:rsidRPr="00CE63A1">
        <w:rPr>
          <w:sz w:val="18"/>
          <w:szCs w:val="18"/>
        </w:rPr>
        <w:t xml:space="preserve">Title VI of the Civil Rights Act of 1964 </w:t>
      </w:r>
    </w:p>
    <w:p w14:paraId="1C171C45" w14:textId="22068D4A" w:rsidR="00F340D2" w:rsidRPr="00CE63A1" w:rsidRDefault="00F340D2" w:rsidP="00F340D2">
      <w:pPr>
        <w:pStyle w:val="ListParagraph"/>
        <w:numPr>
          <w:ilvl w:val="0"/>
          <w:numId w:val="18"/>
        </w:numPr>
        <w:spacing w:after="0" w:line="240" w:lineRule="auto"/>
        <w:rPr>
          <w:sz w:val="18"/>
          <w:szCs w:val="18"/>
        </w:rPr>
      </w:pPr>
      <w:r w:rsidRPr="00CE63A1">
        <w:rPr>
          <w:sz w:val="18"/>
          <w:szCs w:val="18"/>
        </w:rPr>
        <w:t>Title VIII of the Civil Rights Act of 1964 (The Fair Housing Act)</w:t>
      </w:r>
    </w:p>
    <w:p w14:paraId="41443E60" w14:textId="77777777" w:rsidR="00F340D2" w:rsidRPr="00CE63A1" w:rsidRDefault="00F340D2" w:rsidP="00076263">
      <w:pPr>
        <w:pStyle w:val="ListParagraph"/>
        <w:numPr>
          <w:ilvl w:val="0"/>
          <w:numId w:val="18"/>
        </w:numPr>
        <w:spacing w:after="0" w:line="240" w:lineRule="auto"/>
        <w:rPr>
          <w:sz w:val="18"/>
          <w:szCs w:val="18"/>
        </w:rPr>
      </w:pPr>
      <w:r w:rsidRPr="00CE63A1">
        <w:rPr>
          <w:sz w:val="18"/>
          <w:szCs w:val="18"/>
        </w:rPr>
        <w:t>Restoration Act of 1987</w:t>
      </w:r>
    </w:p>
    <w:p w14:paraId="1931D888" w14:textId="77777777" w:rsidR="00F340D2" w:rsidRPr="00CE63A1" w:rsidRDefault="00F340D2" w:rsidP="00076263">
      <w:pPr>
        <w:pStyle w:val="ListParagraph"/>
        <w:numPr>
          <w:ilvl w:val="0"/>
          <w:numId w:val="18"/>
        </w:numPr>
        <w:spacing w:after="0" w:line="240" w:lineRule="auto"/>
        <w:rPr>
          <w:sz w:val="18"/>
          <w:szCs w:val="18"/>
        </w:rPr>
      </w:pPr>
      <w:r w:rsidRPr="00CE63A1">
        <w:rPr>
          <w:sz w:val="18"/>
          <w:szCs w:val="18"/>
        </w:rPr>
        <w:t>Section 109 of Title 1 of the Housing and Community Development Act of 1974:</w:t>
      </w:r>
    </w:p>
    <w:p w14:paraId="390C1978" w14:textId="77777777" w:rsidR="00F340D2" w:rsidRPr="00CE63A1" w:rsidRDefault="00F340D2" w:rsidP="00076263">
      <w:pPr>
        <w:pStyle w:val="ListParagraph"/>
        <w:numPr>
          <w:ilvl w:val="0"/>
          <w:numId w:val="18"/>
        </w:numPr>
        <w:spacing w:after="0" w:line="240" w:lineRule="auto"/>
        <w:rPr>
          <w:sz w:val="18"/>
          <w:szCs w:val="18"/>
        </w:rPr>
      </w:pPr>
      <w:r w:rsidRPr="00CE63A1">
        <w:rPr>
          <w:sz w:val="18"/>
          <w:szCs w:val="18"/>
        </w:rPr>
        <w:t>Fair Housing Amendment Act of 1988</w:t>
      </w:r>
    </w:p>
    <w:p w14:paraId="600B7018" w14:textId="77777777" w:rsidR="00F340D2" w:rsidRPr="00CE63A1" w:rsidRDefault="00F340D2" w:rsidP="00076263">
      <w:pPr>
        <w:pStyle w:val="ListParagraph"/>
        <w:numPr>
          <w:ilvl w:val="0"/>
          <w:numId w:val="18"/>
        </w:numPr>
        <w:spacing w:after="0" w:line="240" w:lineRule="auto"/>
        <w:rPr>
          <w:sz w:val="18"/>
          <w:szCs w:val="18"/>
        </w:rPr>
      </w:pPr>
      <w:r w:rsidRPr="00CE63A1">
        <w:rPr>
          <w:sz w:val="18"/>
          <w:szCs w:val="18"/>
        </w:rPr>
        <w:t>Housing for Older Persons Act of 1995 (HOPA)</w:t>
      </w:r>
    </w:p>
    <w:p w14:paraId="748D79DA" w14:textId="0617F47F" w:rsidR="00F82087" w:rsidRPr="00CE63A1" w:rsidRDefault="00F82087" w:rsidP="00076263">
      <w:pPr>
        <w:pStyle w:val="ListParagraph"/>
        <w:numPr>
          <w:ilvl w:val="0"/>
          <w:numId w:val="18"/>
        </w:numPr>
        <w:spacing w:after="0" w:line="240" w:lineRule="auto"/>
        <w:rPr>
          <w:sz w:val="18"/>
          <w:szCs w:val="18"/>
        </w:rPr>
      </w:pPr>
      <w:r w:rsidRPr="00CE63A1">
        <w:rPr>
          <w:sz w:val="18"/>
          <w:szCs w:val="18"/>
        </w:rPr>
        <w:t>Section 504 of the Rehabilitation Act of 1973</w:t>
      </w:r>
    </w:p>
    <w:p w14:paraId="72889588" w14:textId="77777777" w:rsidR="00F82087" w:rsidRPr="00CE63A1" w:rsidRDefault="00F82087" w:rsidP="00076263">
      <w:pPr>
        <w:pStyle w:val="ListParagraph"/>
        <w:numPr>
          <w:ilvl w:val="0"/>
          <w:numId w:val="18"/>
        </w:numPr>
        <w:spacing w:after="0" w:line="240" w:lineRule="auto"/>
        <w:rPr>
          <w:sz w:val="18"/>
          <w:szCs w:val="18"/>
        </w:rPr>
      </w:pPr>
      <w:r w:rsidRPr="00CE63A1">
        <w:rPr>
          <w:sz w:val="18"/>
          <w:szCs w:val="18"/>
        </w:rPr>
        <w:t>Age Discrimination Act of 1975</w:t>
      </w:r>
    </w:p>
    <w:p w14:paraId="3288E397" w14:textId="2791D377" w:rsidR="00AD5561" w:rsidRPr="00CE63A1" w:rsidRDefault="00F340D2" w:rsidP="00076263">
      <w:pPr>
        <w:pStyle w:val="ListParagraph"/>
        <w:numPr>
          <w:ilvl w:val="0"/>
          <w:numId w:val="18"/>
        </w:numPr>
        <w:spacing w:after="0" w:line="240" w:lineRule="auto"/>
        <w:rPr>
          <w:sz w:val="18"/>
          <w:szCs w:val="18"/>
        </w:rPr>
      </w:pPr>
      <w:r w:rsidRPr="00CE63A1">
        <w:rPr>
          <w:sz w:val="18"/>
          <w:szCs w:val="18"/>
        </w:rPr>
        <w:t>Americans with Disabilities Act of 1990 (ADA)</w:t>
      </w:r>
    </w:p>
    <w:p w14:paraId="29F08829" w14:textId="428F5D6F" w:rsidR="00F340D2" w:rsidRPr="00CE63A1" w:rsidRDefault="00F340D2" w:rsidP="00076263">
      <w:pPr>
        <w:pStyle w:val="ListParagraph"/>
        <w:numPr>
          <w:ilvl w:val="0"/>
          <w:numId w:val="18"/>
        </w:numPr>
        <w:spacing w:after="0" w:line="240" w:lineRule="auto"/>
        <w:rPr>
          <w:sz w:val="18"/>
          <w:szCs w:val="18"/>
        </w:rPr>
      </w:pPr>
      <w:r w:rsidRPr="00CE63A1">
        <w:rPr>
          <w:sz w:val="18"/>
          <w:szCs w:val="18"/>
        </w:rPr>
        <w:t>Executive Order 11063</w:t>
      </w:r>
    </w:p>
    <w:p w14:paraId="5147DAFE" w14:textId="37146972" w:rsidR="00F340D2" w:rsidRPr="00CE63A1" w:rsidRDefault="00F340D2" w:rsidP="00076263">
      <w:pPr>
        <w:pStyle w:val="ListParagraph"/>
        <w:numPr>
          <w:ilvl w:val="0"/>
          <w:numId w:val="18"/>
        </w:numPr>
        <w:spacing w:after="0" w:line="240" w:lineRule="auto"/>
        <w:rPr>
          <w:sz w:val="18"/>
          <w:szCs w:val="18"/>
        </w:rPr>
      </w:pPr>
      <w:r w:rsidRPr="00CE63A1">
        <w:rPr>
          <w:sz w:val="18"/>
          <w:szCs w:val="18"/>
        </w:rPr>
        <w:t>Executive Order 11259</w:t>
      </w:r>
    </w:p>
    <w:p w14:paraId="0A417E3A" w14:textId="4A33DE9B" w:rsidR="00F340D2" w:rsidRPr="00CE63A1" w:rsidRDefault="00F340D2" w:rsidP="00076263">
      <w:pPr>
        <w:pStyle w:val="ListParagraph"/>
        <w:numPr>
          <w:ilvl w:val="0"/>
          <w:numId w:val="18"/>
        </w:numPr>
        <w:spacing w:after="0" w:line="240" w:lineRule="auto"/>
        <w:rPr>
          <w:sz w:val="18"/>
          <w:szCs w:val="18"/>
        </w:rPr>
      </w:pPr>
      <w:r w:rsidRPr="00CE63A1">
        <w:rPr>
          <w:sz w:val="18"/>
          <w:szCs w:val="18"/>
        </w:rPr>
        <w:t>Section 109 of Title I of the Housing and Community Development Act of 1974</w:t>
      </w:r>
    </w:p>
    <w:p w14:paraId="04C492F3" w14:textId="67CC8678" w:rsidR="00F340D2" w:rsidRPr="00CE63A1" w:rsidRDefault="00F340D2" w:rsidP="00076263">
      <w:pPr>
        <w:pStyle w:val="ListParagraph"/>
        <w:numPr>
          <w:ilvl w:val="0"/>
          <w:numId w:val="18"/>
        </w:numPr>
        <w:spacing w:after="0" w:line="240" w:lineRule="auto"/>
        <w:rPr>
          <w:sz w:val="18"/>
          <w:szCs w:val="18"/>
        </w:rPr>
      </w:pPr>
      <w:r w:rsidRPr="00CE63A1">
        <w:rPr>
          <w:sz w:val="18"/>
          <w:szCs w:val="18"/>
        </w:rPr>
        <w:t>Equal Employment Opportunity Act</w:t>
      </w:r>
    </w:p>
    <w:p w14:paraId="024F610B" w14:textId="4A3EC541" w:rsidR="00F340D2" w:rsidRPr="00CE63A1" w:rsidRDefault="00F340D2" w:rsidP="00076263">
      <w:pPr>
        <w:pStyle w:val="ListParagraph"/>
        <w:numPr>
          <w:ilvl w:val="0"/>
          <w:numId w:val="18"/>
        </w:numPr>
        <w:spacing w:after="0" w:line="240" w:lineRule="auto"/>
        <w:rPr>
          <w:sz w:val="18"/>
          <w:szCs w:val="18"/>
        </w:rPr>
      </w:pPr>
      <w:r w:rsidRPr="00CE63A1">
        <w:rPr>
          <w:sz w:val="18"/>
          <w:szCs w:val="18"/>
        </w:rPr>
        <w:t>Immigration Reform and Control Act (IRCA) of 1986</w:t>
      </w:r>
    </w:p>
    <w:p w14:paraId="363E5B1E" w14:textId="0F4A1DDA" w:rsidR="001774B5" w:rsidRPr="00CE63A1" w:rsidRDefault="001774B5" w:rsidP="00076263">
      <w:pPr>
        <w:pStyle w:val="ListParagraph"/>
        <w:numPr>
          <w:ilvl w:val="0"/>
          <w:numId w:val="18"/>
        </w:numPr>
        <w:spacing w:after="0" w:line="240" w:lineRule="auto"/>
        <w:rPr>
          <w:sz w:val="18"/>
          <w:szCs w:val="18"/>
        </w:rPr>
      </w:pPr>
      <w:r w:rsidRPr="00CE63A1">
        <w:rPr>
          <w:sz w:val="18"/>
          <w:szCs w:val="18"/>
        </w:rPr>
        <w:t>Uniform Guidelines on Employee Selection Procedures adopted by the Equal Employment Opportunity Commission in 1978</w:t>
      </w:r>
    </w:p>
    <w:p w14:paraId="109195C8" w14:textId="3D6E9DC6" w:rsidR="001774B5" w:rsidRPr="00CE63A1" w:rsidRDefault="001774B5" w:rsidP="00076263">
      <w:pPr>
        <w:pStyle w:val="ListParagraph"/>
        <w:numPr>
          <w:ilvl w:val="0"/>
          <w:numId w:val="18"/>
        </w:numPr>
        <w:spacing w:after="0" w:line="240" w:lineRule="auto"/>
        <w:rPr>
          <w:sz w:val="18"/>
          <w:szCs w:val="18"/>
        </w:rPr>
      </w:pPr>
      <w:r w:rsidRPr="00CE63A1">
        <w:rPr>
          <w:sz w:val="18"/>
          <w:szCs w:val="18"/>
        </w:rPr>
        <w:t>Section 3 of the Housing and Urban Development Act of 1968, as amended</w:t>
      </w:r>
    </w:p>
    <w:p w14:paraId="53985C2B" w14:textId="1CE6778B" w:rsidR="001774B5" w:rsidRPr="00CE63A1" w:rsidRDefault="001774B5" w:rsidP="00076263">
      <w:pPr>
        <w:pStyle w:val="ListParagraph"/>
        <w:numPr>
          <w:ilvl w:val="0"/>
          <w:numId w:val="18"/>
        </w:numPr>
        <w:spacing w:after="0" w:line="240" w:lineRule="auto"/>
        <w:rPr>
          <w:sz w:val="18"/>
          <w:szCs w:val="18"/>
        </w:rPr>
      </w:pPr>
      <w:r w:rsidRPr="00CE63A1">
        <w:rPr>
          <w:sz w:val="18"/>
          <w:szCs w:val="18"/>
        </w:rPr>
        <w:t>Vietnam Era Veterans’ Readjustment Act of 1974 (revised Jobs for Veterans Act of 2002)</w:t>
      </w:r>
    </w:p>
    <w:p w14:paraId="13B973C8" w14:textId="3B4A7DE7" w:rsidR="001774B5" w:rsidRPr="00CE63A1" w:rsidRDefault="001774B5" w:rsidP="00076263">
      <w:pPr>
        <w:pStyle w:val="ListParagraph"/>
        <w:numPr>
          <w:ilvl w:val="0"/>
          <w:numId w:val="18"/>
        </w:numPr>
        <w:spacing w:after="0" w:line="240" w:lineRule="auto"/>
        <w:rPr>
          <w:sz w:val="18"/>
          <w:szCs w:val="18"/>
        </w:rPr>
      </w:pPr>
      <w:r w:rsidRPr="00CE63A1">
        <w:rPr>
          <w:sz w:val="18"/>
          <w:szCs w:val="18"/>
        </w:rPr>
        <w:t xml:space="preserve">2 CFR </w:t>
      </w:r>
      <w:r w:rsidR="00203368" w:rsidRPr="00CE63A1">
        <w:rPr>
          <w:sz w:val="18"/>
          <w:szCs w:val="18"/>
        </w:rPr>
        <w:t xml:space="preserve">Part </w:t>
      </w:r>
      <w:r w:rsidRPr="00CE63A1">
        <w:rPr>
          <w:sz w:val="18"/>
          <w:szCs w:val="18"/>
        </w:rPr>
        <w:t xml:space="preserve">200.321 and 2 CFR </w:t>
      </w:r>
      <w:r w:rsidR="00203368" w:rsidRPr="00CE63A1">
        <w:rPr>
          <w:sz w:val="18"/>
          <w:szCs w:val="18"/>
        </w:rPr>
        <w:t xml:space="preserve">Part </w:t>
      </w:r>
      <w:r w:rsidRPr="00CE63A1">
        <w:rPr>
          <w:sz w:val="18"/>
          <w:szCs w:val="18"/>
        </w:rPr>
        <w:t>200 Appendix II(C)</w:t>
      </w:r>
    </w:p>
    <w:p w14:paraId="25526501" w14:textId="77777777" w:rsidR="00AD5561" w:rsidRPr="00CE63A1" w:rsidRDefault="00AD5561" w:rsidP="001774B5">
      <w:pPr>
        <w:spacing w:after="0" w:line="240" w:lineRule="auto"/>
        <w:rPr>
          <w:sz w:val="8"/>
          <w:szCs w:val="8"/>
        </w:rPr>
      </w:pPr>
    </w:p>
    <w:p w14:paraId="55C390A1" w14:textId="18FEA424" w:rsidR="00F82087" w:rsidRPr="00CE63A1" w:rsidRDefault="00F82087" w:rsidP="00076263">
      <w:pPr>
        <w:spacing w:after="0" w:line="240" w:lineRule="auto"/>
        <w:rPr>
          <w:sz w:val="18"/>
          <w:szCs w:val="18"/>
        </w:rPr>
      </w:pPr>
      <w:r w:rsidRPr="00CE63A1">
        <w:rPr>
          <w:sz w:val="18"/>
          <w:szCs w:val="18"/>
        </w:rPr>
        <w:t>As a condition of receipt of federal funding under this contract, the contractor provides the following assurances with respect to the fulfillment of the contract:</w:t>
      </w:r>
    </w:p>
    <w:p w14:paraId="4A9053EB" w14:textId="1B76D65B" w:rsidR="00F82087" w:rsidRPr="00CE63A1" w:rsidRDefault="00F82087" w:rsidP="00076263">
      <w:pPr>
        <w:numPr>
          <w:ilvl w:val="0"/>
          <w:numId w:val="19"/>
        </w:numPr>
        <w:spacing w:after="0" w:line="240" w:lineRule="auto"/>
        <w:rPr>
          <w:sz w:val="18"/>
          <w:szCs w:val="18"/>
        </w:rPr>
      </w:pPr>
      <w:r w:rsidRPr="00CE63A1">
        <w:rPr>
          <w:b/>
          <w:bCs/>
          <w:i/>
          <w:iCs/>
          <w:sz w:val="18"/>
          <w:szCs w:val="18"/>
        </w:rPr>
        <w:t>Title VI of the Civil Rights Act of 1964.</w:t>
      </w:r>
      <w:r w:rsidRPr="00CE63A1">
        <w:rPr>
          <w:b/>
          <w:bCs/>
          <w:sz w:val="18"/>
          <w:szCs w:val="18"/>
        </w:rPr>
        <w:t xml:space="preserve"> </w:t>
      </w:r>
      <w:r w:rsidRPr="00CE63A1">
        <w:rPr>
          <w:sz w:val="18"/>
          <w:szCs w:val="18"/>
        </w:rPr>
        <w:t xml:space="preserve">The contractor </w:t>
      </w:r>
      <w:r w:rsidR="00872FED" w:rsidRPr="00CE63A1">
        <w:rPr>
          <w:sz w:val="18"/>
          <w:szCs w:val="18"/>
        </w:rPr>
        <w:t xml:space="preserve">must endure </w:t>
      </w:r>
      <w:r w:rsidRPr="00CE63A1">
        <w:rPr>
          <w:sz w:val="18"/>
          <w:szCs w:val="18"/>
        </w:rPr>
        <w:t>current and future compliance with Title VI of the Civil Rights Act of 1964, as amended, which prohibits exclusion from participation, denial of the benefits of, or subjection to discrimination under programs and activities receiving federal financial assistance, of any person in the United States on the ground of race, color, or national origin (</w:t>
      </w:r>
      <w:hyperlink r:id="rId16" w:history="1">
        <w:r w:rsidRPr="00CE63A1">
          <w:rPr>
            <w:rStyle w:val="Hyperlink"/>
            <w:rFonts w:asciiTheme="minorHAnsi" w:hAnsiTheme="minorHAnsi"/>
            <w:szCs w:val="18"/>
          </w:rPr>
          <w:t>42 U.S.C. § 2000d et seq.</w:t>
        </w:r>
      </w:hyperlink>
      <w:r w:rsidRPr="00CE63A1">
        <w:rPr>
          <w:sz w:val="18"/>
          <w:szCs w:val="18"/>
        </w:rPr>
        <w:t xml:space="preserve">), as implemented by the Department, Title VI regulations at </w:t>
      </w:r>
      <w:hyperlink r:id="rId17" w:history="1">
        <w:r w:rsidRPr="00CE63A1">
          <w:rPr>
            <w:rStyle w:val="Hyperlink"/>
            <w:rFonts w:asciiTheme="minorHAnsi" w:hAnsiTheme="minorHAnsi"/>
            <w:szCs w:val="18"/>
          </w:rPr>
          <w:t xml:space="preserve">31 CFR </w:t>
        </w:r>
        <w:r w:rsidR="00203368" w:rsidRPr="00CE63A1">
          <w:rPr>
            <w:rStyle w:val="Hyperlink"/>
            <w:rFonts w:asciiTheme="minorHAnsi" w:hAnsiTheme="minorHAnsi"/>
            <w:szCs w:val="18"/>
          </w:rPr>
          <w:t>Part</w:t>
        </w:r>
        <w:r w:rsidRPr="00CE63A1">
          <w:rPr>
            <w:rStyle w:val="Hyperlink"/>
            <w:rFonts w:asciiTheme="minorHAnsi" w:hAnsiTheme="minorHAnsi"/>
            <w:szCs w:val="18"/>
          </w:rPr>
          <w:t xml:space="preserve"> 22</w:t>
        </w:r>
      </w:hyperlink>
      <w:r w:rsidRPr="00CE63A1">
        <w:rPr>
          <w:sz w:val="18"/>
          <w:szCs w:val="18"/>
        </w:rPr>
        <w:t xml:space="preserve"> and other pertinent executive orders, directives, circulars, policies, memoranda, and/or guidance documents. </w:t>
      </w:r>
    </w:p>
    <w:p w14:paraId="12559364" w14:textId="11CF5CB3" w:rsidR="001225D8" w:rsidRPr="00CE63A1" w:rsidRDefault="00F82087" w:rsidP="00076263">
      <w:pPr>
        <w:pStyle w:val="ListParagraph"/>
        <w:numPr>
          <w:ilvl w:val="0"/>
          <w:numId w:val="19"/>
        </w:numPr>
        <w:spacing w:after="0" w:line="240" w:lineRule="auto"/>
        <w:rPr>
          <w:sz w:val="18"/>
          <w:szCs w:val="18"/>
        </w:rPr>
      </w:pPr>
      <w:r w:rsidRPr="00CE63A1">
        <w:rPr>
          <w:b/>
          <w:bCs/>
          <w:i/>
          <w:iCs/>
          <w:sz w:val="18"/>
          <w:szCs w:val="18"/>
        </w:rPr>
        <w:t>Civil Rights Act Contract Clause.</w:t>
      </w:r>
      <w:r w:rsidRPr="00CE63A1">
        <w:rPr>
          <w:sz w:val="18"/>
          <w:szCs w:val="18"/>
        </w:rPr>
        <w:t xml:space="preserve"> The contractor </w:t>
      </w:r>
      <w:r w:rsidR="008C0F5F" w:rsidRPr="00CE63A1">
        <w:rPr>
          <w:sz w:val="18"/>
          <w:szCs w:val="18"/>
        </w:rPr>
        <w:t xml:space="preserve">agrees to provide the </w:t>
      </w:r>
      <w:r w:rsidRPr="00CE63A1">
        <w:rPr>
          <w:sz w:val="18"/>
          <w:szCs w:val="18"/>
        </w:rPr>
        <w:t>require</w:t>
      </w:r>
      <w:r w:rsidR="008C0F5F" w:rsidRPr="00CE63A1">
        <w:rPr>
          <w:sz w:val="18"/>
          <w:szCs w:val="18"/>
        </w:rPr>
        <w:t>ments to</w:t>
      </w:r>
      <w:r w:rsidRPr="00CE63A1">
        <w:rPr>
          <w:sz w:val="18"/>
          <w:szCs w:val="18"/>
        </w:rPr>
        <w:t xml:space="preserve"> any subcontractors, successors, transferees, and assignees to</w:t>
      </w:r>
      <w:r w:rsidR="008C0F5F" w:rsidRPr="00CE63A1">
        <w:rPr>
          <w:sz w:val="18"/>
          <w:szCs w:val="18"/>
        </w:rPr>
        <w:t xml:space="preserve"> ensure</w:t>
      </w:r>
      <w:r w:rsidRPr="00CE63A1">
        <w:rPr>
          <w:sz w:val="18"/>
          <w:szCs w:val="18"/>
        </w:rPr>
        <w:t xml:space="preserve"> compl</w:t>
      </w:r>
      <w:r w:rsidR="008C0F5F" w:rsidRPr="00CE63A1">
        <w:rPr>
          <w:sz w:val="18"/>
          <w:szCs w:val="18"/>
        </w:rPr>
        <w:t xml:space="preserve">iance by </w:t>
      </w:r>
      <w:r w:rsidRPr="00CE63A1">
        <w:rPr>
          <w:sz w:val="18"/>
          <w:szCs w:val="18"/>
        </w:rPr>
        <w:t>incorporat</w:t>
      </w:r>
      <w:r w:rsidR="008C0F5F" w:rsidRPr="00CE63A1">
        <w:rPr>
          <w:sz w:val="18"/>
          <w:szCs w:val="18"/>
        </w:rPr>
        <w:t>ing</w:t>
      </w:r>
      <w:r w:rsidRPr="00CE63A1">
        <w:rPr>
          <w:sz w:val="18"/>
          <w:szCs w:val="18"/>
        </w:rPr>
        <w:t xml:space="preserve"> the following language in </w:t>
      </w:r>
      <w:r w:rsidR="008C0F5F" w:rsidRPr="00CE63A1">
        <w:rPr>
          <w:sz w:val="18"/>
          <w:szCs w:val="18"/>
        </w:rPr>
        <w:t xml:space="preserve">all its </w:t>
      </w:r>
      <w:r w:rsidRPr="00CE63A1">
        <w:rPr>
          <w:sz w:val="18"/>
          <w:szCs w:val="18"/>
        </w:rPr>
        <w:t>contract</w:t>
      </w:r>
      <w:r w:rsidR="008C0F5F" w:rsidRPr="00CE63A1">
        <w:rPr>
          <w:sz w:val="18"/>
          <w:szCs w:val="18"/>
        </w:rPr>
        <w:t>s</w:t>
      </w:r>
      <w:r w:rsidRPr="00CE63A1">
        <w:rPr>
          <w:sz w:val="18"/>
          <w:szCs w:val="18"/>
        </w:rPr>
        <w:t xml:space="preserve"> </w:t>
      </w:r>
      <w:r w:rsidR="008C0F5F" w:rsidRPr="00CE63A1">
        <w:rPr>
          <w:sz w:val="18"/>
          <w:szCs w:val="18"/>
        </w:rPr>
        <w:t>and</w:t>
      </w:r>
      <w:r w:rsidRPr="00CE63A1">
        <w:rPr>
          <w:sz w:val="18"/>
          <w:szCs w:val="18"/>
        </w:rPr>
        <w:t xml:space="preserve"> agreement</w:t>
      </w:r>
      <w:r w:rsidR="008C0F5F" w:rsidRPr="00CE63A1">
        <w:rPr>
          <w:sz w:val="18"/>
          <w:szCs w:val="18"/>
        </w:rPr>
        <w:t>s</w:t>
      </w:r>
      <w:r w:rsidRPr="00CE63A1">
        <w:rPr>
          <w:sz w:val="18"/>
          <w:szCs w:val="18"/>
        </w:rPr>
        <w:t xml:space="preserve"> subject to Title VI </w:t>
      </w:r>
      <w:r w:rsidR="008C0F5F" w:rsidRPr="00CE63A1">
        <w:rPr>
          <w:sz w:val="18"/>
          <w:szCs w:val="18"/>
        </w:rPr>
        <w:t>laws and</w:t>
      </w:r>
      <w:r w:rsidRPr="00CE63A1">
        <w:rPr>
          <w:sz w:val="18"/>
          <w:szCs w:val="18"/>
        </w:rPr>
        <w:t xml:space="preserve"> regulations:</w:t>
      </w:r>
    </w:p>
    <w:p w14:paraId="3218EAE6" w14:textId="0A5AAC44" w:rsidR="001225D8" w:rsidRPr="00CE63A1" w:rsidRDefault="001225D8" w:rsidP="001225D8">
      <w:pPr>
        <w:pStyle w:val="ListParagraph"/>
        <w:spacing w:after="0" w:line="240" w:lineRule="auto"/>
        <w:rPr>
          <w:sz w:val="8"/>
          <w:szCs w:val="8"/>
        </w:rPr>
      </w:pPr>
    </w:p>
    <w:p w14:paraId="67BFE8CB" w14:textId="77777777" w:rsidR="00F82087" w:rsidRPr="00CE63A1" w:rsidRDefault="00F82087" w:rsidP="001225D8">
      <w:pPr>
        <w:pStyle w:val="ListParagraph"/>
        <w:spacing w:after="0" w:line="240" w:lineRule="auto"/>
        <w:ind w:left="1440"/>
        <w:rPr>
          <w:b/>
          <w:bCs/>
          <w:i/>
          <w:iCs/>
          <w:sz w:val="18"/>
          <w:szCs w:val="18"/>
        </w:rPr>
      </w:pPr>
      <w:r w:rsidRPr="00CE63A1">
        <w:rPr>
          <w:b/>
          <w:bCs/>
          <w:i/>
          <w:iCs/>
          <w:sz w:val="18"/>
          <w:szCs w:val="18"/>
        </w:rPr>
        <w:t>Civil Rights Act Subcontract Clause:</w:t>
      </w:r>
    </w:p>
    <w:p w14:paraId="48529E38" w14:textId="5A1E8B55" w:rsidR="00F82087" w:rsidRPr="00CE63A1" w:rsidRDefault="00F82087" w:rsidP="001225D8">
      <w:pPr>
        <w:pStyle w:val="ListParagraph"/>
        <w:spacing w:after="0" w:line="240" w:lineRule="auto"/>
        <w:ind w:left="1440"/>
        <w:rPr>
          <w:sz w:val="18"/>
          <w:szCs w:val="18"/>
        </w:rPr>
      </w:pPr>
      <w:r w:rsidRPr="00CE63A1">
        <w:rPr>
          <w:i/>
          <w:iCs/>
          <w:sz w:val="18"/>
          <w:szCs w:val="18"/>
        </w:rPr>
        <w:t xml:space="preserve">The subcontractor, successor, transferee, and assignee shall comply with Title VI of the Civil Rights Act of 1964, which prohibits recipients of federal financial assistance from excluding from a program or activity, denying benefits of, or </w:t>
      </w:r>
      <w:r w:rsidRPr="00CE63A1">
        <w:rPr>
          <w:i/>
          <w:iCs/>
          <w:sz w:val="18"/>
          <w:szCs w:val="18"/>
        </w:rPr>
        <w:lastRenderedPageBreak/>
        <w:t>otherwise discriminating against a person on the basis of race, color, or national origin (</w:t>
      </w:r>
      <w:hyperlink r:id="rId18" w:history="1">
        <w:r w:rsidRPr="00CE63A1">
          <w:rPr>
            <w:rStyle w:val="Hyperlink"/>
            <w:rFonts w:asciiTheme="minorHAnsi" w:hAnsiTheme="minorHAnsi"/>
            <w:iCs/>
            <w:szCs w:val="18"/>
          </w:rPr>
          <w:t>42 U.S.C. § 2000d et seq.</w:t>
        </w:r>
      </w:hyperlink>
      <w:r w:rsidRPr="00CE63A1">
        <w:rPr>
          <w:i/>
          <w:iCs/>
          <w:sz w:val="18"/>
          <w:szCs w:val="18"/>
        </w:rPr>
        <w:t>), as implemented by the Department’s Title VI regulations, 31 CFR Part 22, which are herein incorporated by reference and made a part of this contract (or agreement).</w:t>
      </w:r>
    </w:p>
    <w:p w14:paraId="248CA875" w14:textId="0118FA31" w:rsidR="00F82087" w:rsidRPr="00CE63A1" w:rsidRDefault="00F82087" w:rsidP="00076263">
      <w:pPr>
        <w:spacing w:after="0" w:line="240" w:lineRule="auto"/>
        <w:ind w:firstLine="40"/>
        <w:rPr>
          <w:sz w:val="8"/>
          <w:szCs w:val="8"/>
        </w:rPr>
      </w:pPr>
    </w:p>
    <w:p w14:paraId="43274960" w14:textId="32A8E524" w:rsidR="00F82087" w:rsidRPr="00CE63A1" w:rsidRDefault="00F82087" w:rsidP="00076263">
      <w:pPr>
        <w:numPr>
          <w:ilvl w:val="0"/>
          <w:numId w:val="19"/>
        </w:numPr>
        <w:spacing w:after="0" w:line="240" w:lineRule="auto"/>
        <w:rPr>
          <w:sz w:val="18"/>
          <w:szCs w:val="18"/>
        </w:rPr>
      </w:pPr>
      <w:r w:rsidRPr="00CE63A1">
        <w:rPr>
          <w:sz w:val="18"/>
          <w:szCs w:val="18"/>
        </w:rPr>
        <w:t xml:space="preserve">The contractor shall cooperate with the owner of this contract, the </w:t>
      </w:r>
      <w:r w:rsidR="00F86DDF" w:rsidRPr="00CE63A1">
        <w:rPr>
          <w:rFonts w:ascii="Aptos" w:eastAsia="Times New Roman" w:hAnsi="Aptos" w:cs="Arial"/>
          <w:bCs/>
          <w:sz w:val="18"/>
          <w:szCs w:val="18"/>
        </w:rPr>
        <w:t>HTF</w:t>
      </w:r>
      <w:r w:rsidR="00F86DDF" w:rsidRPr="00CE63A1">
        <w:rPr>
          <w:sz w:val="18"/>
          <w:szCs w:val="18"/>
        </w:rPr>
        <w:t xml:space="preserve"> </w:t>
      </w:r>
      <w:r w:rsidRPr="00CE63A1">
        <w:rPr>
          <w:sz w:val="18"/>
          <w:szCs w:val="18"/>
        </w:rPr>
        <w:t xml:space="preserve">grantee, and the State of Wisconsin </w:t>
      </w:r>
      <w:r w:rsidR="00F86DDF" w:rsidRPr="00CE63A1">
        <w:rPr>
          <w:rFonts w:ascii="Aptos" w:eastAsia="Times New Roman" w:hAnsi="Aptos" w:cs="Arial"/>
          <w:bCs/>
          <w:sz w:val="18"/>
          <w:szCs w:val="18"/>
        </w:rPr>
        <w:t>HTF</w:t>
      </w:r>
      <w:r w:rsidR="00F86DDF" w:rsidRPr="00CE63A1">
        <w:rPr>
          <w:sz w:val="18"/>
          <w:szCs w:val="18"/>
        </w:rPr>
        <w:t xml:space="preserve"> </w:t>
      </w:r>
      <w:r w:rsidRPr="00CE63A1">
        <w:rPr>
          <w:sz w:val="18"/>
          <w:szCs w:val="18"/>
        </w:rPr>
        <w:t xml:space="preserve">in any enforcement or compliance review activities by </w:t>
      </w:r>
      <w:proofErr w:type="gramStart"/>
      <w:r w:rsidRPr="00CE63A1">
        <w:rPr>
          <w:sz w:val="18"/>
          <w:szCs w:val="18"/>
        </w:rPr>
        <w:t xml:space="preserve">the </w:t>
      </w:r>
      <w:r w:rsidR="00AD5561" w:rsidRPr="00CE63A1">
        <w:rPr>
          <w:sz w:val="18"/>
          <w:szCs w:val="18"/>
        </w:rPr>
        <w:t xml:space="preserve"> </w:t>
      </w:r>
      <w:r w:rsidRPr="00CE63A1">
        <w:rPr>
          <w:sz w:val="18"/>
          <w:szCs w:val="18"/>
        </w:rPr>
        <w:t>Department</w:t>
      </w:r>
      <w:proofErr w:type="gramEnd"/>
      <w:r w:rsidRPr="00CE63A1">
        <w:rPr>
          <w:sz w:val="18"/>
          <w:szCs w:val="18"/>
        </w:rPr>
        <w:t xml:space="preserve"> of the </w:t>
      </w:r>
      <w:proofErr w:type="gramStart"/>
      <w:r w:rsidRPr="00CE63A1">
        <w:rPr>
          <w:sz w:val="18"/>
          <w:szCs w:val="18"/>
        </w:rPr>
        <w:t>aforementioned obligations</w:t>
      </w:r>
      <w:proofErr w:type="gramEnd"/>
      <w:r w:rsidRPr="00CE63A1">
        <w:rPr>
          <w:sz w:val="18"/>
          <w:szCs w:val="18"/>
        </w:rPr>
        <w:t>. Enforcement may include investigation, arbitration, mediation, litigation, and monitoring of any settlement agreements that may result from these actions. </w:t>
      </w:r>
    </w:p>
    <w:p w14:paraId="2BFB1AD3" w14:textId="3A7B7AA8" w:rsidR="001774B5" w:rsidRPr="00CE63A1" w:rsidRDefault="001774B5" w:rsidP="004F4787">
      <w:pPr>
        <w:pStyle w:val="Heading3"/>
      </w:pPr>
      <w:r w:rsidRPr="00CE63A1">
        <w:t xml:space="preserve">Compliance with Equal Opportunity Executive Orders / 41 CFR </w:t>
      </w:r>
      <w:r w:rsidR="00203368" w:rsidRPr="00CE63A1">
        <w:t>Part</w:t>
      </w:r>
      <w:r w:rsidRPr="00CE63A1">
        <w:t xml:space="preserve"> 60:*  </w:t>
      </w:r>
    </w:p>
    <w:p w14:paraId="1B050B20" w14:textId="2718C28E" w:rsidR="00A30A4F" w:rsidRPr="00CE63A1" w:rsidRDefault="00834B44" w:rsidP="001225D8">
      <w:pPr>
        <w:tabs>
          <w:tab w:val="left" w:pos="720"/>
        </w:tabs>
        <w:spacing w:after="0" w:line="240" w:lineRule="auto"/>
        <w:rPr>
          <w:sz w:val="18"/>
          <w:szCs w:val="18"/>
        </w:rPr>
      </w:pPr>
      <w:r w:rsidRPr="00CE63A1">
        <w:rPr>
          <w:sz w:val="18"/>
          <w:szCs w:val="18"/>
        </w:rPr>
        <w:t xml:space="preserve">Per </w:t>
      </w:r>
      <w:hyperlink r:id="rId19" w:anchor="p-Appendix-II-to-Part-200(C)" w:history="1">
        <w:r w:rsidRPr="00CE63A1">
          <w:rPr>
            <w:rStyle w:val="Hyperlink"/>
            <w:rFonts w:asciiTheme="minorHAnsi" w:hAnsiTheme="minorHAnsi"/>
            <w:szCs w:val="18"/>
          </w:rPr>
          <w:t>2 CFR 200 Appendix II(C)</w:t>
        </w:r>
      </w:hyperlink>
      <w:r w:rsidRPr="00CE63A1">
        <w:rPr>
          <w:sz w:val="18"/>
          <w:szCs w:val="18"/>
        </w:rPr>
        <w:t>, e</w:t>
      </w:r>
      <w:r w:rsidR="001774B5" w:rsidRPr="00CE63A1">
        <w:rPr>
          <w:sz w:val="18"/>
          <w:szCs w:val="18"/>
        </w:rPr>
        <w:t xml:space="preserve">xcept as otherwise provided under </w:t>
      </w:r>
      <w:hyperlink r:id="rId20" w:history="1">
        <w:r w:rsidR="001774B5" w:rsidRPr="00CE63A1">
          <w:rPr>
            <w:rStyle w:val="Hyperlink"/>
          </w:rPr>
          <w:t>41 CFR Part 60</w:t>
        </w:r>
      </w:hyperlink>
      <w:r w:rsidR="001774B5" w:rsidRPr="00CE63A1">
        <w:rPr>
          <w:sz w:val="18"/>
          <w:szCs w:val="18"/>
        </w:rPr>
        <w:t xml:space="preserve">, all contracts that meet the definition of “federally assisted construction contract” in </w:t>
      </w:r>
      <w:hyperlink r:id="rId21" w:history="1">
        <w:r w:rsidR="001774B5" w:rsidRPr="00CE63A1">
          <w:rPr>
            <w:rStyle w:val="Hyperlink"/>
          </w:rPr>
          <w:t>41 CFR Part 60-1.3</w:t>
        </w:r>
      </w:hyperlink>
      <w:r w:rsidR="001774B5" w:rsidRPr="00CE63A1">
        <w:rPr>
          <w:sz w:val="18"/>
          <w:szCs w:val="18"/>
        </w:rPr>
        <w:t xml:space="preserve"> must include the equal opportunity clause</w:t>
      </w:r>
      <w:r w:rsidRPr="00CE63A1">
        <w:rPr>
          <w:sz w:val="18"/>
          <w:szCs w:val="18"/>
        </w:rPr>
        <w:t xml:space="preserve"> under</w:t>
      </w:r>
      <w:r w:rsidR="001774B5" w:rsidRPr="00CE63A1">
        <w:rPr>
          <w:sz w:val="18"/>
          <w:szCs w:val="18"/>
        </w:rPr>
        <w:t xml:space="preserve"> </w:t>
      </w:r>
      <w:hyperlink r:id="rId22" w:anchor="p-60-1.4(b)" w:history="1">
        <w:r w:rsidR="001774B5" w:rsidRPr="00CE63A1">
          <w:rPr>
            <w:rStyle w:val="Hyperlink"/>
          </w:rPr>
          <w:t>41 CFR</w:t>
        </w:r>
        <w:r w:rsidR="00203368" w:rsidRPr="00CE63A1">
          <w:rPr>
            <w:rStyle w:val="Hyperlink"/>
          </w:rPr>
          <w:t xml:space="preserve"> Part</w:t>
        </w:r>
        <w:r w:rsidR="001774B5" w:rsidRPr="00CE63A1">
          <w:rPr>
            <w:rStyle w:val="Hyperlink"/>
          </w:rPr>
          <w:t xml:space="preserve"> 60-1.4(b)</w:t>
        </w:r>
      </w:hyperlink>
      <w:r w:rsidR="001774B5" w:rsidRPr="00CE63A1">
        <w:rPr>
          <w:sz w:val="18"/>
          <w:szCs w:val="18"/>
        </w:rPr>
        <w:t xml:space="preserve">, in accordance with </w:t>
      </w:r>
      <w:hyperlink r:id="rId23" w:tgtFrame="_blank" w:history="1">
        <w:r w:rsidR="001774B5" w:rsidRPr="00CE63A1">
          <w:rPr>
            <w:rStyle w:val="Hyperlink"/>
          </w:rPr>
          <w:t>Executive Order 11246</w:t>
        </w:r>
      </w:hyperlink>
      <w:r w:rsidR="001774B5" w:rsidRPr="00CE63A1">
        <w:rPr>
          <w:sz w:val="18"/>
          <w:szCs w:val="18"/>
        </w:rPr>
        <w:t>, “Equal Employment Opportunity” (</w:t>
      </w:r>
      <w:hyperlink r:id="rId24" w:history="1">
        <w:r w:rsidR="001774B5" w:rsidRPr="00CE63A1">
          <w:rPr>
            <w:rStyle w:val="Hyperlink"/>
          </w:rPr>
          <w:t xml:space="preserve">30 FR </w:t>
        </w:r>
        <w:r w:rsidR="004F4787" w:rsidRPr="00CE63A1">
          <w:rPr>
            <w:rStyle w:val="Hyperlink"/>
            <w:rFonts w:ascii="Arial" w:hAnsi="Arial" w:cs="Arial"/>
          </w:rPr>
          <w:t>§</w:t>
        </w:r>
        <w:r w:rsidR="004F4787" w:rsidRPr="00CE63A1">
          <w:rPr>
            <w:rStyle w:val="Hyperlink"/>
          </w:rPr>
          <w:t xml:space="preserve"> </w:t>
        </w:r>
        <w:r w:rsidR="001774B5" w:rsidRPr="00CE63A1">
          <w:rPr>
            <w:rStyle w:val="Hyperlink"/>
          </w:rPr>
          <w:t>12319</w:t>
        </w:r>
      </w:hyperlink>
      <w:r w:rsidR="001774B5" w:rsidRPr="00CE63A1">
        <w:rPr>
          <w:sz w:val="18"/>
          <w:szCs w:val="18"/>
        </w:rPr>
        <w:t xml:space="preserve">, </w:t>
      </w:r>
      <w:hyperlink r:id="rId25" w:history="1">
        <w:r w:rsidR="001774B5" w:rsidRPr="00CE63A1">
          <w:rPr>
            <w:rStyle w:val="Hyperlink"/>
          </w:rPr>
          <w:t>12935</w:t>
        </w:r>
      </w:hyperlink>
      <w:r w:rsidR="001774B5" w:rsidRPr="00CE63A1">
        <w:rPr>
          <w:sz w:val="18"/>
          <w:szCs w:val="18"/>
        </w:rPr>
        <w:t xml:space="preserve">, </w:t>
      </w:r>
      <w:hyperlink r:id="rId26" w:history="1">
        <w:r w:rsidR="001774B5" w:rsidRPr="00CE63A1">
          <w:rPr>
            <w:rStyle w:val="Hyperlink"/>
          </w:rPr>
          <w:t>3 CFR Part, 1964-1965</w:t>
        </w:r>
      </w:hyperlink>
      <w:r w:rsidR="001774B5" w:rsidRPr="00CE63A1">
        <w:rPr>
          <w:sz w:val="18"/>
          <w:szCs w:val="18"/>
        </w:rPr>
        <w:t xml:space="preserve"> Comp., p. 339), as amended by </w:t>
      </w:r>
      <w:hyperlink r:id="rId27" w:tgtFrame="_blank" w:history="1">
        <w:r w:rsidR="001774B5" w:rsidRPr="00CE63A1">
          <w:rPr>
            <w:rStyle w:val="Hyperlink"/>
          </w:rPr>
          <w:t>Executive Order 11375</w:t>
        </w:r>
      </w:hyperlink>
      <w:r w:rsidR="001774B5" w:rsidRPr="00CE63A1">
        <w:rPr>
          <w:sz w:val="18"/>
          <w:szCs w:val="18"/>
        </w:rPr>
        <w:t xml:space="preserve">, “Amending </w:t>
      </w:r>
      <w:hyperlink r:id="rId28" w:tgtFrame="_blank" w:history="1">
        <w:r w:rsidR="001774B5" w:rsidRPr="00CE63A1">
          <w:rPr>
            <w:rStyle w:val="Hyperlink"/>
          </w:rPr>
          <w:t>Executive Order 11246</w:t>
        </w:r>
      </w:hyperlink>
      <w:r w:rsidR="001774B5" w:rsidRPr="00CE63A1">
        <w:rPr>
          <w:sz w:val="18"/>
          <w:szCs w:val="18"/>
        </w:rPr>
        <w:t xml:space="preserve"> Relating to Equal Employment Opportunity,” and implementing regulations at </w:t>
      </w:r>
      <w:hyperlink r:id="rId29" w:history="1">
        <w:r w:rsidR="001774B5" w:rsidRPr="00CE63A1">
          <w:rPr>
            <w:rStyle w:val="Hyperlink"/>
          </w:rPr>
          <w:t xml:space="preserve">41 CFR </w:t>
        </w:r>
        <w:r w:rsidR="00203368" w:rsidRPr="00CE63A1">
          <w:rPr>
            <w:rStyle w:val="Hyperlink"/>
          </w:rPr>
          <w:t>P</w:t>
        </w:r>
        <w:r w:rsidR="001774B5" w:rsidRPr="00CE63A1">
          <w:rPr>
            <w:rStyle w:val="Hyperlink"/>
          </w:rPr>
          <w:t>art 60</w:t>
        </w:r>
      </w:hyperlink>
      <w:r w:rsidR="001774B5" w:rsidRPr="00CE63A1">
        <w:rPr>
          <w:sz w:val="18"/>
          <w:szCs w:val="18"/>
        </w:rPr>
        <w:t>, “Office of Federal Contract Compliance Programs, Equal Employment Opportunity, Department of Labor</w:t>
      </w:r>
      <w:r w:rsidRPr="00CE63A1">
        <w:rPr>
          <w:sz w:val="18"/>
          <w:szCs w:val="18"/>
        </w:rPr>
        <w:t>,</w:t>
      </w:r>
      <w:r w:rsidR="001774B5" w:rsidRPr="00CE63A1">
        <w:rPr>
          <w:sz w:val="18"/>
          <w:szCs w:val="18"/>
        </w:rPr>
        <w:t>”</w:t>
      </w:r>
      <w:r w:rsidRPr="00CE63A1">
        <w:rPr>
          <w:sz w:val="18"/>
          <w:szCs w:val="18"/>
        </w:rPr>
        <w:t xml:space="preserve"> as follows:</w:t>
      </w:r>
    </w:p>
    <w:p w14:paraId="1F6E1D5F" w14:textId="77777777" w:rsidR="00834B44" w:rsidRPr="00CE63A1" w:rsidRDefault="00834B44" w:rsidP="00834B44">
      <w:pPr>
        <w:spacing w:after="0" w:line="240" w:lineRule="auto"/>
        <w:ind w:left="187"/>
        <w:rPr>
          <w:rFonts w:eastAsia="Times New Roman" w:cs="Times New Roman"/>
          <w:b/>
          <w:bCs/>
          <w:i/>
          <w:iCs/>
          <w:kern w:val="0"/>
          <w:sz w:val="8"/>
          <w:szCs w:val="8"/>
          <w14:ligatures w14:val="none"/>
        </w:rPr>
      </w:pPr>
    </w:p>
    <w:p w14:paraId="43DE4B8A" w14:textId="3FB50ADA" w:rsidR="00834B44" w:rsidRPr="00CE63A1" w:rsidRDefault="00834B44" w:rsidP="00834B44">
      <w:pPr>
        <w:spacing w:after="80" w:line="240" w:lineRule="auto"/>
        <w:ind w:left="187"/>
        <w:rPr>
          <w:rFonts w:eastAsia="Times New Roman" w:cs="Times New Roman"/>
          <w:kern w:val="0"/>
          <w:sz w:val="18"/>
          <w:szCs w:val="18"/>
          <w14:ligatures w14:val="none"/>
        </w:rPr>
      </w:pPr>
      <w:r w:rsidRPr="00CE63A1">
        <w:rPr>
          <w:rFonts w:eastAsia="Times New Roman" w:cs="Times New Roman"/>
          <w:b/>
          <w:bCs/>
          <w:i/>
          <w:iCs/>
          <w:kern w:val="0"/>
          <w:sz w:val="18"/>
          <w:szCs w:val="18"/>
          <w14:ligatures w14:val="none"/>
        </w:rPr>
        <w:t>Federally assisted construction contracts.</w:t>
      </w:r>
      <w:r w:rsidRPr="00CE63A1">
        <w:rPr>
          <w:rFonts w:eastAsia="Times New Roman" w:cs="Times New Roman"/>
          <w:kern w:val="0"/>
          <w:sz w:val="18"/>
          <w:szCs w:val="18"/>
          <w14:ligatures w14:val="none"/>
        </w:rPr>
        <w:t xml:space="preserve"> </w:t>
      </w:r>
    </w:p>
    <w:p w14:paraId="4204CEC4" w14:textId="018A4573" w:rsidR="00834B44" w:rsidRPr="00CE63A1" w:rsidRDefault="00834B44" w:rsidP="00834B44">
      <w:pPr>
        <w:spacing w:after="80" w:line="240" w:lineRule="auto"/>
        <w:ind w:left="187"/>
        <w:rPr>
          <w:rFonts w:eastAsia="Times New Roman" w:cs="Times New Roman"/>
          <w:kern w:val="0"/>
          <w:sz w:val="18"/>
          <w:szCs w:val="18"/>
          <w14:ligatures w14:val="none"/>
        </w:rPr>
      </w:pPr>
      <w:r w:rsidRPr="00CE63A1">
        <w:rPr>
          <w:rFonts w:eastAsia="Times New Roman" w:cs="Times New Roman"/>
          <w:kern w:val="0"/>
          <w:sz w:val="18"/>
          <w:szCs w:val="18"/>
          <w14:ligatures w14:val="none"/>
        </w:rPr>
        <w:t>Except as otherwise provided, each administering agency shall require the inclusion of the following language as a condition of any grant, contract, loan, insurance, or guarantee involving federally assisted construction which is not exempt from the requirements of the equal opportunity clause:</w:t>
      </w:r>
    </w:p>
    <w:p w14:paraId="4D7D02AE" w14:textId="5703CC60" w:rsidR="00834B44" w:rsidRPr="00CE63A1" w:rsidRDefault="00834B44" w:rsidP="00834B44">
      <w:pPr>
        <w:spacing w:after="80" w:line="240" w:lineRule="auto"/>
        <w:ind w:left="187"/>
        <w:rPr>
          <w:rFonts w:eastAsia="Times New Roman" w:cs="Times New Roman"/>
          <w:kern w:val="0"/>
          <w:sz w:val="18"/>
          <w:szCs w:val="18"/>
          <w14:ligatures w14:val="none"/>
        </w:rPr>
      </w:pPr>
      <w:r w:rsidRPr="00CE63A1">
        <w:rPr>
          <w:rFonts w:eastAsia="Times New Roman" w:cs="Times New Roman"/>
          <w:kern w:val="0"/>
          <w:sz w:val="18"/>
          <w:szCs w:val="18"/>
          <w14:ligatures w14:val="none"/>
        </w:rPr>
        <w:t xml:space="preserve">The applicant hereby agrees that it will incorporate or cause to be incorporated into any contract for construction work, or modification thereof, as defined in the regulations of the Secretary of Labor at </w:t>
      </w:r>
      <w:hyperlink r:id="rId30" w:history="1">
        <w:r w:rsidRPr="00CE63A1">
          <w:rPr>
            <w:rStyle w:val="Hyperlink"/>
          </w:rPr>
          <w:t xml:space="preserve">41 CFR </w:t>
        </w:r>
        <w:r w:rsidR="00203368" w:rsidRPr="00CE63A1">
          <w:rPr>
            <w:rStyle w:val="Hyperlink"/>
          </w:rPr>
          <w:t xml:space="preserve">Part </w:t>
        </w:r>
        <w:r w:rsidRPr="00CE63A1">
          <w:rPr>
            <w:rStyle w:val="Hyperlink"/>
          </w:rPr>
          <w:t>60</w:t>
        </w:r>
      </w:hyperlink>
      <w:r w:rsidRPr="00CE63A1">
        <w:rPr>
          <w:rFonts w:eastAsia="Times New Roman" w:cs="Times New Roman"/>
          <w:kern w:val="0"/>
          <w:sz w:val="18"/>
          <w:szCs w:val="18"/>
          <w14:ligatures w14:val="none"/>
        </w:rPr>
        <w:t>, which is paid for in whole or in part with funds obtained from the Federal Government or borrowed on the credit of the Federal Government pursuant to a grant, contract, loan, insurance, or guarantee, or undertaken pursuant to any Federal program involving such grant, contract, loan, insurance, or guarantee, the following equal opportunity clause:</w:t>
      </w:r>
    </w:p>
    <w:p w14:paraId="4FDCA002" w14:textId="77777777" w:rsidR="00834B44" w:rsidRPr="00CE63A1" w:rsidRDefault="00834B44" w:rsidP="00834B44">
      <w:pPr>
        <w:spacing w:after="80" w:line="240" w:lineRule="auto"/>
        <w:ind w:left="187"/>
        <w:rPr>
          <w:rFonts w:eastAsia="Times New Roman" w:cs="Times New Roman"/>
          <w:kern w:val="0"/>
          <w:sz w:val="18"/>
          <w:szCs w:val="18"/>
          <w14:ligatures w14:val="none"/>
        </w:rPr>
      </w:pPr>
      <w:r w:rsidRPr="00CE63A1">
        <w:rPr>
          <w:rFonts w:eastAsia="Times New Roman" w:cs="Times New Roman"/>
          <w:kern w:val="0"/>
          <w:sz w:val="18"/>
          <w:szCs w:val="18"/>
          <w14:ligatures w14:val="none"/>
        </w:rPr>
        <w:t>During the performance of this contract, the contractor agrees as follows:</w:t>
      </w:r>
    </w:p>
    <w:p w14:paraId="5DF33B8D" w14:textId="77777777" w:rsidR="00834B44" w:rsidRPr="00CE63A1" w:rsidRDefault="00834B44" w:rsidP="00834B44">
      <w:pPr>
        <w:spacing w:after="80" w:line="240" w:lineRule="auto"/>
        <w:ind w:left="187"/>
        <w:rPr>
          <w:rFonts w:eastAsia="Times New Roman" w:cs="Times New Roman"/>
          <w:kern w:val="0"/>
          <w:sz w:val="18"/>
          <w:szCs w:val="18"/>
          <w14:ligatures w14:val="none"/>
        </w:rPr>
      </w:pPr>
      <w:r w:rsidRPr="00CE63A1">
        <w:rPr>
          <w:rFonts w:eastAsia="Times New Roman" w:cs="Times New Roman"/>
          <w:kern w:val="0"/>
          <w:sz w:val="18"/>
          <w:szCs w:val="18"/>
          <w14:ligatures w14:val="none"/>
        </w:rPr>
        <w:t>(1) The contractor will not discriminate against any employee or applicant for employment because of race, color, religion, sex, sexual orientation, gender identity, or national origin. The contractor will take affirmative action to ensure that applicants are employed, and that employees are treated during employment without regard to their race, color, religion, sex, sexual orientation, gender identity, or national origin. Such action shall include, but not be limited to the following:</w:t>
      </w:r>
    </w:p>
    <w:p w14:paraId="57406D5C" w14:textId="5B039AE0" w:rsidR="00834B44" w:rsidRPr="00CE63A1" w:rsidRDefault="00834B44" w:rsidP="00834B44">
      <w:pPr>
        <w:spacing w:after="80" w:line="240" w:lineRule="auto"/>
        <w:ind w:left="187"/>
        <w:rPr>
          <w:rFonts w:eastAsia="Times New Roman" w:cs="Times New Roman"/>
          <w:kern w:val="0"/>
          <w:sz w:val="18"/>
          <w:szCs w:val="18"/>
          <w14:ligatures w14:val="none"/>
        </w:rPr>
      </w:pPr>
      <w:r w:rsidRPr="00CE63A1">
        <w:rPr>
          <w:rFonts w:eastAsia="Times New Roman" w:cs="Times New Roman"/>
          <w:kern w:val="0"/>
          <w:sz w:val="18"/>
          <w:szCs w:val="18"/>
          <w14:ligatures w14:val="none"/>
        </w:rPr>
        <w:t xml:space="preserve">Employment, upgrading, demotion, or transfer; recruitment or recruitment advertising; layoff or termination; rates of pay or other forms of compensation; and selection for training, including apprenticeship. The contractor agrees to post in conspicuous </w:t>
      </w:r>
      <w:r w:rsidR="00094176" w:rsidRPr="00CE63A1">
        <w:rPr>
          <w:rFonts w:eastAsia="Times New Roman" w:cs="Times New Roman"/>
          <w:kern w:val="0"/>
          <w:sz w:val="18"/>
          <w:szCs w:val="18"/>
          <w14:ligatures w14:val="none"/>
        </w:rPr>
        <w:t>places</w:t>
      </w:r>
      <w:r w:rsidRPr="00CE63A1">
        <w:rPr>
          <w:rFonts w:eastAsia="Times New Roman" w:cs="Times New Roman"/>
          <w:kern w:val="0"/>
          <w:sz w:val="18"/>
          <w:szCs w:val="18"/>
          <w14:ligatures w14:val="none"/>
        </w:rPr>
        <w:t xml:space="preserve"> available to employees and applicants for employment, notices to be provided setting forth the provisions of this nondiscrimination clause.</w:t>
      </w:r>
    </w:p>
    <w:p w14:paraId="5DB033CB" w14:textId="77777777" w:rsidR="00834B44" w:rsidRPr="00CE63A1" w:rsidRDefault="00834B44" w:rsidP="00834B44">
      <w:pPr>
        <w:spacing w:after="80" w:line="240" w:lineRule="auto"/>
        <w:ind w:left="187"/>
        <w:rPr>
          <w:rFonts w:eastAsia="Times New Roman" w:cs="Times New Roman"/>
          <w:kern w:val="0"/>
          <w:sz w:val="18"/>
          <w:szCs w:val="18"/>
          <w14:ligatures w14:val="none"/>
        </w:rPr>
      </w:pPr>
      <w:r w:rsidRPr="00CE63A1">
        <w:rPr>
          <w:rFonts w:eastAsia="Times New Roman" w:cs="Times New Roman"/>
          <w:kern w:val="0"/>
          <w:sz w:val="18"/>
          <w:szCs w:val="18"/>
          <w14:ligatures w14:val="none"/>
        </w:rPr>
        <w:t>(2) The contractor will, in all solicitations or advertisements for employees placed by or on behalf of the contractor, state that all qualified applicants will receive consideration for employment without regard to race, color, religion, sex, sexual orientation, gender identity, or national origin.</w:t>
      </w:r>
    </w:p>
    <w:p w14:paraId="4BBFD6A0" w14:textId="77777777" w:rsidR="00834B44" w:rsidRPr="00CE63A1" w:rsidRDefault="00834B44" w:rsidP="00834B44">
      <w:pPr>
        <w:spacing w:after="80" w:line="240" w:lineRule="auto"/>
        <w:ind w:left="187"/>
        <w:rPr>
          <w:rFonts w:eastAsia="Times New Roman" w:cs="Times New Roman"/>
          <w:kern w:val="0"/>
          <w:sz w:val="18"/>
          <w:szCs w:val="18"/>
          <w14:ligatures w14:val="none"/>
        </w:rPr>
      </w:pPr>
      <w:r w:rsidRPr="00CE63A1">
        <w:rPr>
          <w:rFonts w:eastAsia="Times New Roman" w:cs="Times New Roman"/>
          <w:kern w:val="0"/>
          <w:sz w:val="18"/>
          <w:szCs w:val="18"/>
          <w14:ligatures w14:val="none"/>
        </w:rPr>
        <w:t>(3) The contractor will not discharge or in any other manner discriminate against any employee or applicant for employment because such employee or applicant has inquired about, discussed, or disclosed the compensation of the employee or applicant or another employee or applicant. This provision shall not apply to instances in which an employee who has access to the compensation information of other employees or applicants as a part of such employee's essential job functions discloses the compensation of such other employees or applicants to individuals who do not otherwise have access to such information, unless such disclosure is in response to a formal complaint or charge, in furtherance of an investigation, proceeding, hearing, or action, including an investigation conducted by the employer, or is consistent with the contractor's legal duty to furnish information.</w:t>
      </w:r>
    </w:p>
    <w:p w14:paraId="199996D6" w14:textId="2DFAA2E2" w:rsidR="00834B44" w:rsidRPr="00CE63A1" w:rsidRDefault="00834B44" w:rsidP="00834B44">
      <w:pPr>
        <w:spacing w:after="80" w:line="240" w:lineRule="auto"/>
        <w:ind w:left="187"/>
        <w:rPr>
          <w:rFonts w:eastAsia="Times New Roman" w:cs="Times New Roman"/>
          <w:kern w:val="0"/>
          <w:sz w:val="18"/>
          <w:szCs w:val="18"/>
          <w14:ligatures w14:val="none"/>
        </w:rPr>
      </w:pPr>
      <w:r w:rsidRPr="00CE63A1">
        <w:rPr>
          <w:rFonts w:eastAsia="Times New Roman" w:cs="Times New Roman"/>
          <w:kern w:val="0"/>
          <w:sz w:val="18"/>
          <w:szCs w:val="18"/>
          <w14:ligatures w14:val="none"/>
        </w:rPr>
        <w:t xml:space="preserve">(4) The contractor will send to each labor union or representative of workers with which he has a collective bargaining agreement or other contract or understanding, a notice to be provided advising the said labor union or workers' representatives of the contractor's commitments under this </w:t>
      </w:r>
      <w:r w:rsidR="00AD07AA" w:rsidRPr="00CE63A1">
        <w:rPr>
          <w:rFonts w:eastAsia="Times New Roman" w:cs="Times New Roman"/>
          <w:kern w:val="0"/>
          <w:sz w:val="18"/>
          <w:szCs w:val="18"/>
          <w14:ligatures w14:val="none"/>
        </w:rPr>
        <w:t>section and</w:t>
      </w:r>
      <w:r w:rsidRPr="00CE63A1">
        <w:rPr>
          <w:rFonts w:eastAsia="Times New Roman" w:cs="Times New Roman"/>
          <w:kern w:val="0"/>
          <w:sz w:val="18"/>
          <w:szCs w:val="18"/>
          <w14:ligatures w14:val="none"/>
        </w:rPr>
        <w:t xml:space="preserve"> shall post copies of the notice in conspicuous places available to employees and applicants for employment.</w:t>
      </w:r>
    </w:p>
    <w:p w14:paraId="343C59FF" w14:textId="77777777" w:rsidR="00834B44" w:rsidRPr="00CE63A1" w:rsidRDefault="00834B44" w:rsidP="00834B44">
      <w:pPr>
        <w:spacing w:after="80" w:line="240" w:lineRule="auto"/>
        <w:ind w:left="187"/>
        <w:rPr>
          <w:rFonts w:eastAsia="Times New Roman" w:cs="Times New Roman"/>
          <w:kern w:val="0"/>
          <w:sz w:val="18"/>
          <w:szCs w:val="18"/>
          <w14:ligatures w14:val="none"/>
        </w:rPr>
      </w:pPr>
      <w:r w:rsidRPr="00CE63A1">
        <w:rPr>
          <w:rFonts w:eastAsia="Times New Roman" w:cs="Times New Roman"/>
          <w:kern w:val="0"/>
          <w:sz w:val="18"/>
          <w:szCs w:val="18"/>
          <w14:ligatures w14:val="none"/>
        </w:rPr>
        <w:t>(5) The contractor will comply with all provisions of Executive Order 11246 of September 24, 1965, and of the rules, regulations, and relevant orders of the Secretary of Labor.</w:t>
      </w:r>
    </w:p>
    <w:p w14:paraId="0A5565B4" w14:textId="77777777" w:rsidR="00834B44" w:rsidRPr="00CE63A1" w:rsidRDefault="00834B44" w:rsidP="00834B44">
      <w:pPr>
        <w:spacing w:after="80" w:line="240" w:lineRule="auto"/>
        <w:ind w:left="187"/>
        <w:rPr>
          <w:rFonts w:eastAsia="Times New Roman" w:cs="Times New Roman"/>
          <w:kern w:val="0"/>
          <w:sz w:val="18"/>
          <w:szCs w:val="18"/>
          <w14:ligatures w14:val="none"/>
        </w:rPr>
      </w:pPr>
      <w:r w:rsidRPr="00CE63A1">
        <w:rPr>
          <w:rFonts w:eastAsia="Times New Roman" w:cs="Times New Roman"/>
          <w:kern w:val="0"/>
          <w:sz w:val="18"/>
          <w:szCs w:val="18"/>
          <w14:ligatures w14:val="none"/>
        </w:rPr>
        <w:t>(6) The contractor will furnish all information and reports required by Executive Order 11246 of September 24, 1965, and by rules, regulations, and orders of the Secretary of Labor, or pursuant thereto, and will permit access to his books, records, and accounts by the administering agency and the Secretary of Labor for purposes of investigation to ascertain compliance with such rules, regulations, and orders.</w:t>
      </w:r>
    </w:p>
    <w:p w14:paraId="092B6A9C" w14:textId="77777777" w:rsidR="00834B44" w:rsidRPr="00CE63A1" w:rsidRDefault="00834B44" w:rsidP="00834B44">
      <w:pPr>
        <w:spacing w:after="80" w:line="240" w:lineRule="auto"/>
        <w:ind w:left="187"/>
        <w:rPr>
          <w:rFonts w:eastAsia="Times New Roman" w:cs="Times New Roman"/>
          <w:kern w:val="0"/>
          <w:sz w:val="18"/>
          <w:szCs w:val="18"/>
          <w14:ligatures w14:val="none"/>
        </w:rPr>
      </w:pPr>
      <w:r w:rsidRPr="00CE63A1">
        <w:rPr>
          <w:rFonts w:eastAsia="Times New Roman" w:cs="Times New Roman"/>
          <w:kern w:val="0"/>
          <w:sz w:val="18"/>
          <w:szCs w:val="18"/>
          <w14:ligatures w14:val="none"/>
        </w:rPr>
        <w:t>(7) In the event of the contractor's noncompliance with the nondiscrimination clauses of this contract or with any of the said rules, regulations, or orders, this contract may be canceled, terminated, or suspended in whole or in part and the contractor may be declared ineligible for further Government contracts or federally assisted construction contracts in accordance with procedures authorized in Executive Order 11246 of September 24, 1965, and such other sanctions may be imposed and remedies invoked as provided in Executive Order 11246 of September 24, 1965, or by rule, regulation, or order of the Secretary of Labor, or as otherwise provided by law.</w:t>
      </w:r>
    </w:p>
    <w:p w14:paraId="3DD1C750" w14:textId="77777777" w:rsidR="008401F1" w:rsidRPr="00CE63A1" w:rsidRDefault="008401F1" w:rsidP="008401F1">
      <w:pPr>
        <w:spacing w:after="0" w:line="240" w:lineRule="auto"/>
        <w:rPr>
          <w:i/>
          <w:iCs/>
          <w:color w:val="C00000"/>
          <w:sz w:val="18"/>
          <w:szCs w:val="18"/>
        </w:rPr>
      </w:pPr>
      <w:r w:rsidRPr="00CE63A1">
        <w:rPr>
          <w:i/>
          <w:iCs/>
          <w:color w:val="C00000"/>
          <w:sz w:val="18"/>
          <w:szCs w:val="18"/>
        </w:rPr>
        <w:lastRenderedPageBreak/>
        <w:t>*Laws and Executive Orders listed may be added, amended, or revoked during the contract period upon issuance by the U.S. Federal Government. Grantees, subrecipients, contractors, and subcontractors are subject to the laws and orders, as mandated by federal and state government authorities, as issued and amended.</w:t>
      </w:r>
    </w:p>
    <w:p w14:paraId="500DD5D9" w14:textId="77777777" w:rsidR="008401F1" w:rsidRPr="00CE63A1" w:rsidRDefault="008401F1" w:rsidP="00834B44">
      <w:pPr>
        <w:spacing w:after="80" w:line="240" w:lineRule="auto"/>
        <w:ind w:left="187"/>
        <w:rPr>
          <w:rFonts w:eastAsia="Times New Roman" w:cs="Times New Roman"/>
          <w:kern w:val="0"/>
          <w:sz w:val="18"/>
          <w:szCs w:val="18"/>
          <w14:ligatures w14:val="none"/>
        </w:rPr>
      </w:pPr>
    </w:p>
    <w:p w14:paraId="61A58955" w14:textId="77777777" w:rsidR="00834B44" w:rsidRPr="00CE63A1" w:rsidRDefault="00834B44" w:rsidP="00834B44">
      <w:pPr>
        <w:spacing w:after="80" w:line="240" w:lineRule="auto"/>
        <w:ind w:left="187"/>
        <w:rPr>
          <w:rFonts w:eastAsia="Times New Roman" w:cs="Times New Roman"/>
          <w:kern w:val="0"/>
          <w:sz w:val="18"/>
          <w:szCs w:val="18"/>
          <w14:ligatures w14:val="none"/>
        </w:rPr>
      </w:pPr>
      <w:r w:rsidRPr="00CE63A1">
        <w:rPr>
          <w:rFonts w:eastAsia="Times New Roman" w:cs="Times New Roman"/>
          <w:kern w:val="0"/>
          <w:sz w:val="18"/>
          <w:szCs w:val="18"/>
          <w14:ligatures w14:val="none"/>
        </w:rPr>
        <w:t>(8) The contractor will include the portion of the sentence immediately preceding paragraph (1) and the provisions of paragraphs (1) through (8) in every subcontract or purchase order unless exempted by rules, regulations, or orders of the Secretary of Labor issued pursuant to section 204 of Executive Order 11246 of September 24, 1965, so that such provisions will be binding upon each subcontractor or vendor. The contractor will take such action with respect to any subcontract or purchase order as the administering agency may direct as a means of enforcing such provisions, including sanctions for noncompliance:</w:t>
      </w:r>
    </w:p>
    <w:p w14:paraId="26927798" w14:textId="77777777" w:rsidR="00834B44" w:rsidRPr="00CE63A1" w:rsidRDefault="00834B44" w:rsidP="00834B44">
      <w:pPr>
        <w:spacing w:after="80" w:line="240" w:lineRule="auto"/>
        <w:ind w:left="187"/>
        <w:rPr>
          <w:rFonts w:eastAsia="Times New Roman" w:cs="Times New Roman"/>
          <w:kern w:val="0"/>
          <w:sz w:val="18"/>
          <w:szCs w:val="18"/>
          <w14:ligatures w14:val="none"/>
        </w:rPr>
      </w:pPr>
      <w:r w:rsidRPr="00CE63A1">
        <w:rPr>
          <w:rFonts w:eastAsia="Times New Roman" w:cs="Times New Roman"/>
          <w:i/>
          <w:iCs/>
          <w:kern w:val="0"/>
          <w:sz w:val="18"/>
          <w:szCs w:val="18"/>
          <w14:ligatures w14:val="none"/>
        </w:rPr>
        <w:t>Provided,</w:t>
      </w:r>
      <w:r w:rsidRPr="00CE63A1">
        <w:rPr>
          <w:rFonts w:eastAsia="Times New Roman" w:cs="Times New Roman"/>
          <w:kern w:val="0"/>
          <w:sz w:val="18"/>
          <w:szCs w:val="18"/>
          <w14:ligatures w14:val="none"/>
        </w:rPr>
        <w:t xml:space="preserve"> however, that in the event a contractor becomes involved in, or is threatened with, litigation with a subcontractor or vendor as a result of such direction by the administering agency, the contractor may request the United States to enter into such litigation to protect the interests of the United States.</w:t>
      </w:r>
    </w:p>
    <w:p w14:paraId="5C02C368" w14:textId="77777777" w:rsidR="00834B44" w:rsidRPr="00CE63A1" w:rsidRDefault="00834B44" w:rsidP="00834B44">
      <w:pPr>
        <w:spacing w:after="80" w:line="240" w:lineRule="auto"/>
        <w:ind w:left="187"/>
        <w:rPr>
          <w:rFonts w:eastAsia="Times New Roman" w:cs="Times New Roman"/>
          <w:kern w:val="0"/>
          <w:sz w:val="18"/>
          <w:szCs w:val="18"/>
          <w14:ligatures w14:val="none"/>
        </w:rPr>
      </w:pPr>
      <w:r w:rsidRPr="00CE63A1">
        <w:rPr>
          <w:rFonts w:eastAsia="Times New Roman" w:cs="Times New Roman"/>
          <w:kern w:val="0"/>
          <w:sz w:val="18"/>
          <w:szCs w:val="18"/>
          <w14:ligatures w14:val="none"/>
        </w:rPr>
        <w:t xml:space="preserve">The applicant further agrees that it will be bound by the above equal opportunity clause with respect to its own employment practices when it participates in federally assisted construction work: </w:t>
      </w:r>
      <w:r w:rsidRPr="00CE63A1">
        <w:rPr>
          <w:rFonts w:eastAsia="Times New Roman" w:cs="Times New Roman"/>
          <w:i/>
          <w:iCs/>
          <w:kern w:val="0"/>
          <w:sz w:val="18"/>
          <w:szCs w:val="18"/>
          <w14:ligatures w14:val="none"/>
        </w:rPr>
        <w:t>Provided,</w:t>
      </w:r>
      <w:r w:rsidRPr="00CE63A1">
        <w:rPr>
          <w:rFonts w:eastAsia="Times New Roman" w:cs="Times New Roman"/>
          <w:kern w:val="0"/>
          <w:sz w:val="18"/>
          <w:szCs w:val="18"/>
          <w14:ligatures w14:val="none"/>
        </w:rPr>
        <w:t xml:space="preserve"> That if the applicant so participating is a State or local government, the above equal opportunity clause is not applicable to any agency, instrumentality or subdivision of such government which does not participate in work on or under the contract.</w:t>
      </w:r>
    </w:p>
    <w:p w14:paraId="710F47AB" w14:textId="77777777" w:rsidR="00834B44" w:rsidRPr="00CE63A1" w:rsidRDefault="00834B44" w:rsidP="00834B44">
      <w:pPr>
        <w:spacing w:after="80" w:line="240" w:lineRule="auto"/>
        <w:ind w:left="187"/>
        <w:rPr>
          <w:rFonts w:eastAsia="Times New Roman" w:cs="Times New Roman"/>
          <w:kern w:val="0"/>
          <w:sz w:val="18"/>
          <w:szCs w:val="18"/>
          <w14:ligatures w14:val="none"/>
        </w:rPr>
      </w:pPr>
      <w:r w:rsidRPr="00CE63A1">
        <w:rPr>
          <w:rFonts w:eastAsia="Times New Roman" w:cs="Times New Roman"/>
          <w:kern w:val="0"/>
          <w:sz w:val="18"/>
          <w:szCs w:val="18"/>
          <w14:ligatures w14:val="none"/>
        </w:rPr>
        <w:t>The applicant agrees that it will assist and cooperate actively with the administering agency and the Secretary of Labor in obtaining the compliance of contractors and subcontractors with the equal opportunity clause and the rules, regulations, and relevant orders of the Secretary of Labor, that it will furnish the administering agency and the Secretary of Labor such information as they may require for the supervision of such compliance, and that it will otherwise assist the administering agency in the discharge of the agency's primary responsibility for securing compliance.</w:t>
      </w:r>
    </w:p>
    <w:p w14:paraId="723D519F" w14:textId="77777777" w:rsidR="00834B44" w:rsidRPr="00CE63A1" w:rsidRDefault="00834B44" w:rsidP="00834B44">
      <w:pPr>
        <w:spacing w:after="80" w:line="240" w:lineRule="auto"/>
        <w:ind w:left="187"/>
        <w:rPr>
          <w:rFonts w:eastAsia="Times New Roman" w:cs="Times New Roman"/>
          <w:kern w:val="0"/>
          <w:sz w:val="18"/>
          <w:szCs w:val="18"/>
          <w14:ligatures w14:val="none"/>
        </w:rPr>
      </w:pPr>
      <w:r w:rsidRPr="00CE63A1">
        <w:rPr>
          <w:rFonts w:eastAsia="Times New Roman" w:cs="Times New Roman"/>
          <w:kern w:val="0"/>
          <w:sz w:val="18"/>
          <w:szCs w:val="18"/>
          <w14:ligatures w14:val="none"/>
        </w:rPr>
        <w:t>The applicant further agrees that it will refrain from entering into any contract or contract modification subject to Executive Order 11246 of September 24, 1965, with a contractor debarred from, or who has not demonstrated eligibility for, Government contracts and federally assisted construction contracts pursuant to the Executive Order and will carry out such sanctions and penalties for violation of the equal opportunity clause as may be imposed upon contractors and subcontractors by the administering agency or the Secretary of Labor pursuant to Part II, Subpart D of the Executive Order. In addition, the applicant agrees that if it fails or refuses to comply with these undertakings, the administering agency may take any or all of the following actions: Cancel, terminate, or suspend in whole or in part this grant (contract, loan, insurance, guarantee); refrain from extending any further assistance to the applicant under the program with respect to which the failure or refund occurred until satisfactory assurance of future compliance has been received from such applicant; and refer the case to the Department of Justice for appropriate legal proceedings.</w:t>
      </w:r>
    </w:p>
    <w:p w14:paraId="152EEF40" w14:textId="77777777" w:rsidR="008401F1" w:rsidRPr="00CE63A1" w:rsidRDefault="008401F1" w:rsidP="00834B44">
      <w:pPr>
        <w:spacing w:after="80" w:line="240" w:lineRule="auto"/>
        <w:ind w:left="187"/>
        <w:rPr>
          <w:rFonts w:eastAsia="Times New Roman" w:cs="Times New Roman"/>
          <w:kern w:val="0"/>
          <w:sz w:val="18"/>
          <w:szCs w:val="18"/>
          <w14:ligatures w14:val="none"/>
        </w:rPr>
      </w:pPr>
    </w:p>
    <w:p w14:paraId="111A5542" w14:textId="77777777" w:rsidR="008401F1" w:rsidRPr="00CE63A1" w:rsidRDefault="008401F1" w:rsidP="008401F1">
      <w:pPr>
        <w:spacing w:after="0" w:line="240" w:lineRule="auto"/>
        <w:rPr>
          <w:i/>
          <w:iCs/>
          <w:color w:val="C00000"/>
          <w:sz w:val="18"/>
          <w:szCs w:val="18"/>
        </w:rPr>
      </w:pPr>
      <w:r w:rsidRPr="00CE63A1">
        <w:rPr>
          <w:i/>
          <w:iCs/>
          <w:color w:val="C00000"/>
          <w:sz w:val="18"/>
          <w:szCs w:val="18"/>
        </w:rPr>
        <w:t>*Laws and Executive Orders listed may be added, amended, or revoked during the contract period upon issuance by the U.S. Federal Government. Grantees, subrecipients, contractors, and subcontractors are subject to the laws and orders, as mandated by federal and state government authorities, as issued and amended.</w:t>
      </w:r>
    </w:p>
    <w:p w14:paraId="5E19713F" w14:textId="77777777" w:rsidR="008401F1" w:rsidRPr="00CE63A1" w:rsidRDefault="008401F1" w:rsidP="00834B44">
      <w:pPr>
        <w:spacing w:after="80" w:line="240" w:lineRule="auto"/>
        <w:ind w:left="187"/>
        <w:rPr>
          <w:rFonts w:eastAsia="Times New Roman" w:cs="Times New Roman"/>
          <w:kern w:val="0"/>
          <w:sz w:val="18"/>
          <w:szCs w:val="18"/>
          <w14:ligatures w14:val="none"/>
        </w:rPr>
      </w:pPr>
    </w:p>
    <w:p w14:paraId="240332DB" w14:textId="5929D897" w:rsidR="00A83099" w:rsidRPr="00CE63A1" w:rsidRDefault="00A83099" w:rsidP="004008D4">
      <w:pPr>
        <w:rPr>
          <w:b/>
          <w:bCs/>
        </w:rPr>
        <w:sectPr w:rsidR="00A83099" w:rsidRPr="00CE63A1" w:rsidSect="00A30A4F">
          <w:headerReference w:type="default" r:id="rId31"/>
          <w:footerReference w:type="default" r:id="rId32"/>
          <w:pgSz w:w="12240" w:h="15840" w:code="1"/>
          <w:pgMar w:top="864" w:right="720" w:bottom="864" w:left="720" w:header="576" w:footer="576" w:gutter="0"/>
          <w:cols w:space="720"/>
          <w:noEndnote/>
        </w:sectPr>
      </w:pPr>
      <w:r w:rsidRPr="00CE63A1">
        <w:rPr>
          <w:rFonts w:eastAsia="Times New Roman" w:cs="Times New Roman"/>
          <w:kern w:val="0"/>
          <w:sz w:val="18"/>
          <w:szCs w:val="18"/>
          <w14:ligatures w14:val="none"/>
        </w:rPr>
        <w:br w:type="page"/>
      </w:r>
      <w:bookmarkStart w:id="9" w:name="_Toc195113926"/>
    </w:p>
    <w:p w14:paraId="000185A3" w14:textId="2AAEECA5" w:rsidR="00A83099" w:rsidRPr="00CE63A1" w:rsidRDefault="00A83099" w:rsidP="004F4787">
      <w:pPr>
        <w:pStyle w:val="Heading2"/>
      </w:pPr>
      <w:r w:rsidRPr="00CE63A1">
        <w:lastRenderedPageBreak/>
        <w:t xml:space="preserve">EQUAL OPPORTUNITY 2 CFR </w:t>
      </w:r>
      <w:r w:rsidR="009C158F" w:rsidRPr="00CE63A1">
        <w:t>Part</w:t>
      </w:r>
      <w:r w:rsidRPr="00CE63A1">
        <w:t xml:space="preserve"> 200.321 &amp; WISCONSIN GUIDANCE &amp; GOALS</w:t>
      </w:r>
    </w:p>
    <w:p w14:paraId="0B5972DB" w14:textId="40143529" w:rsidR="00094176" w:rsidRPr="00CE63A1" w:rsidRDefault="00A83099" w:rsidP="00D31D67">
      <w:pPr>
        <w:pStyle w:val="Heading2"/>
      </w:pPr>
      <w:r w:rsidRPr="00CE63A1">
        <w:t>CONTRACT</w:t>
      </w:r>
      <w:r w:rsidR="008F58E4" w:rsidRPr="00CE63A1">
        <w:t xml:space="preserve"> REQUIREMENTS</w:t>
      </w:r>
    </w:p>
    <w:p w14:paraId="3A74D8D3" w14:textId="77777777" w:rsidR="00A83099" w:rsidRPr="00CE63A1" w:rsidRDefault="00A83099" w:rsidP="00A83099">
      <w:pPr>
        <w:spacing w:after="0" w:line="240" w:lineRule="auto"/>
        <w:jc w:val="center"/>
        <w:rPr>
          <w:b/>
          <w:bCs/>
          <w:sz w:val="8"/>
          <w:szCs w:val="8"/>
        </w:rPr>
      </w:pPr>
    </w:p>
    <w:p w14:paraId="53C0FC40" w14:textId="2566F556" w:rsidR="00A83099" w:rsidRPr="00CE63A1" w:rsidRDefault="00A83099" w:rsidP="00D31D67">
      <w:pPr>
        <w:pStyle w:val="Heading3"/>
        <w:numPr>
          <w:ilvl w:val="0"/>
          <w:numId w:val="33"/>
        </w:numPr>
      </w:pPr>
      <w:r w:rsidRPr="00CE63A1">
        <w:t>Consideration for Small Businesses, Women-Owned, Minority-Owned, Veteran-Owned/ Disabled Veteran-Owned Businesses and Labor Surplus Area Firms</w:t>
      </w:r>
      <w:bookmarkEnd w:id="9"/>
      <w:r w:rsidRPr="00CE63A1">
        <w:t>:</w:t>
      </w:r>
    </w:p>
    <w:p w14:paraId="2D9A1764" w14:textId="2D912633" w:rsidR="00A83099" w:rsidRPr="00CE63A1" w:rsidRDefault="00A83099" w:rsidP="008E5F8A">
      <w:pPr>
        <w:shd w:val="clear" w:color="auto" w:fill="FFFFFF" w:themeFill="background1"/>
        <w:spacing w:after="0"/>
        <w:ind w:left="360"/>
        <w:contextualSpacing/>
        <w:rPr>
          <w:rFonts w:ascii="Aptos" w:hAnsi="Aptos" w:cs="Arial"/>
          <w:color w:val="000000" w:themeColor="text1"/>
          <w:sz w:val="20"/>
        </w:rPr>
      </w:pPr>
      <w:r w:rsidRPr="00CE63A1">
        <w:rPr>
          <w:rFonts w:ascii="Aptos" w:hAnsi="Aptos"/>
          <w:sz w:val="20"/>
        </w:rPr>
        <w:t xml:space="preserve">The contractor and their subcontractors (all tiers) shall take all affirmative steps to ensure small businesses, woman-owned, minority-owned, veteran-owned, and disabled veteran-owned businesses, and labor surplus area firms are considered for sources of supplies and services in accordance with </w:t>
      </w:r>
      <w:hyperlink r:id="rId33" w:history="1">
        <w:r w:rsidRPr="00CE63A1">
          <w:rPr>
            <w:rStyle w:val="Hyperlink"/>
          </w:rPr>
          <w:t xml:space="preserve">2 CFR </w:t>
        </w:r>
        <w:r w:rsidR="009C158F" w:rsidRPr="00CE63A1">
          <w:rPr>
            <w:rStyle w:val="Hyperlink"/>
          </w:rPr>
          <w:t>Part</w:t>
        </w:r>
        <w:r w:rsidRPr="00CE63A1">
          <w:rPr>
            <w:rStyle w:val="Hyperlink"/>
          </w:rPr>
          <w:t xml:space="preserve"> 200.321</w:t>
        </w:r>
      </w:hyperlink>
      <w:r w:rsidRPr="00CE63A1">
        <w:rPr>
          <w:rFonts w:ascii="Aptos" w:hAnsi="Aptos"/>
          <w:sz w:val="20"/>
        </w:rPr>
        <w:t xml:space="preserve"> and Department policy, and as d</w:t>
      </w:r>
      <w:r w:rsidRPr="00CE63A1">
        <w:rPr>
          <w:rFonts w:ascii="Aptos" w:hAnsi="Aptos" w:cs="Arial"/>
          <w:color w:val="000000" w:themeColor="text1"/>
          <w:sz w:val="20"/>
        </w:rPr>
        <w:t>efined below:</w:t>
      </w:r>
    </w:p>
    <w:p w14:paraId="0B801FA3" w14:textId="671F8568" w:rsidR="00A83099" w:rsidRPr="00CE63A1" w:rsidRDefault="00A83099" w:rsidP="00A83099">
      <w:pPr>
        <w:pStyle w:val="ListParagraph"/>
        <w:numPr>
          <w:ilvl w:val="1"/>
          <w:numId w:val="14"/>
        </w:numPr>
        <w:shd w:val="clear" w:color="auto" w:fill="FFFFFF" w:themeFill="background1"/>
        <w:spacing w:before="45" w:after="150" w:line="240" w:lineRule="auto"/>
        <w:ind w:left="990" w:hanging="180"/>
        <w:rPr>
          <w:rFonts w:ascii="Aptos" w:hAnsi="Aptos" w:cs="Arial"/>
          <w:color w:val="000000" w:themeColor="text1"/>
          <w:sz w:val="20"/>
        </w:rPr>
      </w:pPr>
      <w:r w:rsidRPr="00CE63A1">
        <w:rPr>
          <w:rFonts w:ascii="Aptos" w:hAnsi="Aptos" w:cs="Arial"/>
          <w:b/>
          <w:bCs/>
          <w:color w:val="000000" w:themeColor="text1"/>
          <w:sz w:val="20"/>
        </w:rPr>
        <w:t xml:space="preserve">Small Business </w:t>
      </w:r>
      <w:r w:rsidRPr="00CE63A1">
        <w:rPr>
          <w:rFonts w:ascii="Aptos" w:hAnsi="Aptos" w:cs="Arial"/>
          <w:color w:val="000000" w:themeColor="text1"/>
          <w:sz w:val="20"/>
        </w:rPr>
        <w:t xml:space="preserve">– A business firm that matches the revenue and employment status of a small business in their industry, as specified in </w:t>
      </w:r>
      <w:hyperlink r:id="rId34" w:history="1">
        <w:r w:rsidRPr="00CE63A1">
          <w:rPr>
            <w:rStyle w:val="Hyperlink"/>
          </w:rPr>
          <w:t xml:space="preserve">13 CFR </w:t>
        </w:r>
        <w:r w:rsidR="009C158F" w:rsidRPr="00CE63A1">
          <w:rPr>
            <w:rStyle w:val="Hyperlink"/>
          </w:rPr>
          <w:t>Part</w:t>
        </w:r>
        <w:r w:rsidRPr="00CE63A1">
          <w:rPr>
            <w:rStyle w:val="Hyperlink"/>
          </w:rPr>
          <w:t xml:space="preserve"> 121.101</w:t>
        </w:r>
      </w:hyperlink>
      <w:r w:rsidRPr="00CE63A1">
        <w:rPr>
          <w:rStyle w:val="Hyperlink"/>
        </w:rPr>
        <w:t xml:space="preserve"> </w:t>
      </w:r>
      <w:r w:rsidRPr="00CE63A1">
        <w:rPr>
          <w:rFonts w:ascii="Aptos" w:hAnsi="Aptos" w:cs="Arial"/>
          <w:color w:val="000000" w:themeColor="text1"/>
          <w:sz w:val="20"/>
        </w:rPr>
        <w:t xml:space="preserve">and the </w:t>
      </w:r>
      <w:hyperlink r:id="rId35" w:history="1">
        <w:r w:rsidRPr="00CE63A1">
          <w:rPr>
            <w:rStyle w:val="Hyperlink"/>
            <w:rFonts w:cs="Arial"/>
          </w:rPr>
          <w:t>North American Industry Classification System (NAICS)</w:t>
        </w:r>
      </w:hyperlink>
      <w:r w:rsidRPr="00CE63A1">
        <w:rPr>
          <w:rFonts w:ascii="Aptos" w:hAnsi="Aptos" w:cs="Arial"/>
          <w:color w:val="000000" w:themeColor="text1"/>
          <w:sz w:val="20"/>
        </w:rPr>
        <w:t xml:space="preserve">. Registered small businesses may be found in directories available on the </w:t>
      </w:r>
      <w:hyperlink r:id="rId36" w:history="1">
        <w:r w:rsidRPr="00CE63A1">
          <w:rPr>
            <w:rStyle w:val="Hyperlink"/>
            <w:rFonts w:cs="Arial"/>
          </w:rPr>
          <w:t>U.S. Small Business Administration website</w:t>
        </w:r>
      </w:hyperlink>
      <w:r w:rsidRPr="00CE63A1">
        <w:rPr>
          <w:rFonts w:ascii="Aptos" w:hAnsi="Aptos" w:cs="Arial"/>
          <w:color w:val="000000" w:themeColor="text1"/>
          <w:sz w:val="20"/>
        </w:rPr>
        <w:t>.</w:t>
      </w:r>
    </w:p>
    <w:p w14:paraId="4D4A6E8E" w14:textId="77777777" w:rsidR="00A83099" w:rsidRPr="00CE63A1" w:rsidRDefault="00A83099" w:rsidP="00A83099">
      <w:pPr>
        <w:pStyle w:val="ListParagraph"/>
        <w:numPr>
          <w:ilvl w:val="1"/>
          <w:numId w:val="14"/>
        </w:numPr>
        <w:shd w:val="clear" w:color="auto" w:fill="FFFFFF" w:themeFill="background1"/>
        <w:spacing w:before="45" w:after="150" w:line="240" w:lineRule="auto"/>
        <w:ind w:left="990" w:hanging="180"/>
        <w:rPr>
          <w:rFonts w:ascii="Aptos" w:hAnsi="Aptos" w:cs="Arial"/>
          <w:color w:val="000000" w:themeColor="text1"/>
          <w:sz w:val="20"/>
        </w:rPr>
      </w:pPr>
      <w:r w:rsidRPr="00CE63A1">
        <w:rPr>
          <w:rFonts w:ascii="Aptos" w:hAnsi="Aptos" w:cs="Arial"/>
          <w:b/>
          <w:bCs/>
          <w:color w:val="000000" w:themeColor="text1"/>
          <w:sz w:val="20"/>
        </w:rPr>
        <w:t>Minority-Owned Business Enterprise- (MBE)*</w:t>
      </w:r>
      <w:r w:rsidRPr="00CE63A1">
        <w:rPr>
          <w:rFonts w:ascii="Aptos" w:hAnsi="Aptos" w:cs="Arial"/>
          <w:color w:val="000000" w:themeColor="text1"/>
          <w:sz w:val="20"/>
        </w:rPr>
        <w:t xml:space="preserve"> – A firm that is at least 51% owned, controlled, and actively managed by one or more members of an eligible minority group member; is a sole proprietorship, corporation, LLC, or joint ventures; is organized in a for profit basis and currently performing a useful business function; and is not held in trust. If the business is a subsidiary or affiliate, the parent company must be at least 51% owned by a minority or minority owners. Eligible racial ethnic categories include: American Indian, Asian-Indian, Asian-Pacific, Black, Eskimo or Aleut, Hispanic, and Native Hawaiian [</w:t>
      </w:r>
      <w:hyperlink r:id="rId37" w:history="1">
        <w:r w:rsidRPr="00CE63A1">
          <w:rPr>
            <w:rStyle w:val="Hyperlink"/>
            <w:rFonts w:cs="Arial"/>
          </w:rPr>
          <w:t>Wis. Stat. § 16.287(1)</w:t>
        </w:r>
      </w:hyperlink>
      <w:r w:rsidRPr="00CE63A1">
        <w:rPr>
          <w:rFonts w:ascii="Aptos" w:hAnsi="Aptos" w:cs="Arial"/>
          <w:color w:val="000000" w:themeColor="text1"/>
          <w:sz w:val="20"/>
        </w:rPr>
        <w:t xml:space="preserve"> and </w:t>
      </w:r>
      <w:hyperlink r:id="rId38" w:history="1">
        <w:r w:rsidRPr="00CE63A1">
          <w:rPr>
            <w:rStyle w:val="Hyperlink"/>
            <w:rFonts w:cs="Arial"/>
          </w:rPr>
          <w:t>Wis. Admin. Code §§ 84.01(29)(a-e)</w:t>
        </w:r>
      </w:hyperlink>
      <w:r w:rsidRPr="00CE63A1">
        <w:rPr>
          <w:rFonts w:ascii="Aptos" w:hAnsi="Aptos" w:cs="Arial"/>
          <w:color w:val="000000" w:themeColor="text1"/>
          <w:sz w:val="20"/>
        </w:rPr>
        <w:t>].</w:t>
      </w:r>
    </w:p>
    <w:p w14:paraId="3B801C39" w14:textId="77777777" w:rsidR="00A83099" w:rsidRPr="00CE63A1" w:rsidRDefault="00A83099" w:rsidP="00A83099">
      <w:pPr>
        <w:pStyle w:val="ListParagraph"/>
        <w:numPr>
          <w:ilvl w:val="1"/>
          <w:numId w:val="14"/>
        </w:numPr>
        <w:shd w:val="clear" w:color="auto" w:fill="FFFFFF" w:themeFill="background1"/>
        <w:spacing w:before="45" w:after="150" w:line="240" w:lineRule="auto"/>
        <w:ind w:left="990" w:hanging="180"/>
        <w:rPr>
          <w:rFonts w:ascii="Aptos" w:hAnsi="Aptos" w:cs="Arial"/>
          <w:color w:val="000000" w:themeColor="text1"/>
          <w:sz w:val="20"/>
        </w:rPr>
      </w:pPr>
      <w:r w:rsidRPr="00CE63A1">
        <w:rPr>
          <w:rFonts w:ascii="Aptos" w:hAnsi="Aptos" w:cs="Arial"/>
          <w:b/>
          <w:bCs/>
          <w:color w:val="000000" w:themeColor="text1"/>
          <w:sz w:val="20"/>
        </w:rPr>
        <w:t>Women-Owned Business Enterprise (WBE)*</w:t>
      </w:r>
      <w:r w:rsidRPr="00CE63A1">
        <w:rPr>
          <w:rFonts w:ascii="Aptos" w:hAnsi="Aptos" w:cs="Arial"/>
          <w:color w:val="000000" w:themeColor="text1"/>
          <w:sz w:val="20"/>
        </w:rPr>
        <w:t xml:space="preserve"> – A firm that is at least 51% owned, controlled, and actively managed by one or more women; is a sole proprietorship, corporation, LLC, or joint ventures; is organized in a for profit basis and currently performing a useful business function; and if held in trust, it must be a woman or women</w:t>
      </w:r>
      <w:r w:rsidRPr="00CE63A1">
        <w:rPr>
          <w:rFonts w:ascii="Arial" w:hAnsi="Arial" w:cs="Arial"/>
          <w:color w:val="000000" w:themeColor="text1"/>
          <w:sz w:val="20"/>
        </w:rPr>
        <w:t>​</w:t>
      </w:r>
      <w:r w:rsidRPr="00CE63A1">
        <w:rPr>
          <w:rFonts w:ascii="Aptos" w:hAnsi="Aptos" w:cs="Arial"/>
          <w:color w:val="000000" w:themeColor="text1"/>
          <w:sz w:val="20"/>
        </w:rPr>
        <w:t xml:space="preserve"> as the owner, beneficiary, and trustee of the trust. If the business is a subsidiary or affiliate, the parent company must be at least 51% owned by a woman or women owners.</w:t>
      </w:r>
    </w:p>
    <w:p w14:paraId="3CC779FE" w14:textId="7515A1A4" w:rsidR="00A83099" w:rsidRPr="00CE63A1" w:rsidRDefault="00A83099" w:rsidP="00A83099">
      <w:pPr>
        <w:pStyle w:val="ListParagraph"/>
        <w:numPr>
          <w:ilvl w:val="1"/>
          <w:numId w:val="14"/>
        </w:numPr>
        <w:shd w:val="clear" w:color="auto" w:fill="FFFFFF" w:themeFill="background1"/>
        <w:spacing w:before="45" w:after="150" w:line="240" w:lineRule="auto"/>
        <w:ind w:left="990" w:hanging="180"/>
        <w:rPr>
          <w:rFonts w:ascii="Aptos" w:hAnsi="Aptos" w:cs="Arial"/>
          <w:color w:val="000000" w:themeColor="text1"/>
          <w:sz w:val="20"/>
        </w:rPr>
      </w:pPr>
      <w:r w:rsidRPr="00CE63A1">
        <w:rPr>
          <w:rFonts w:ascii="Aptos" w:hAnsi="Aptos" w:cs="Arial"/>
          <w:b/>
          <w:bCs/>
          <w:color w:val="000000" w:themeColor="text1"/>
          <w:sz w:val="20"/>
        </w:rPr>
        <w:t>Veteran-Owned Business (V</w:t>
      </w:r>
      <w:r w:rsidR="00BF5F70" w:rsidRPr="00CE63A1">
        <w:rPr>
          <w:rFonts w:ascii="Aptos" w:hAnsi="Aptos" w:cs="Arial"/>
          <w:b/>
          <w:bCs/>
          <w:color w:val="000000" w:themeColor="text1"/>
          <w:sz w:val="20"/>
        </w:rPr>
        <w:t>OB</w:t>
      </w:r>
      <w:r w:rsidRPr="00CE63A1">
        <w:rPr>
          <w:rFonts w:ascii="Aptos" w:hAnsi="Aptos" w:cs="Arial"/>
          <w:b/>
          <w:bCs/>
          <w:color w:val="000000" w:themeColor="text1"/>
          <w:sz w:val="20"/>
        </w:rPr>
        <w:t>)</w:t>
      </w:r>
      <w:r w:rsidRPr="00CE63A1">
        <w:rPr>
          <w:rFonts w:ascii="Aptos" w:hAnsi="Aptos" w:cs="Arial"/>
          <w:color w:val="000000" w:themeColor="text1"/>
          <w:sz w:val="20"/>
        </w:rPr>
        <w:t xml:space="preserve"> – A business with ownership that meets the definition of a veteran-owned business according to the </w:t>
      </w:r>
      <w:hyperlink r:id="rId39" w:anchor=":~:text=Be%20identified%20by%20the%20VA,until%20VetCert%20makes%20a%20determination." w:history="1">
        <w:r w:rsidRPr="00CE63A1">
          <w:rPr>
            <w:rStyle w:val="Hyperlink"/>
            <w:rFonts w:cs="Arial"/>
          </w:rPr>
          <w:t>U.S. Small Business Administration</w:t>
        </w:r>
      </w:hyperlink>
      <w:r w:rsidRPr="00CE63A1">
        <w:rPr>
          <w:rFonts w:ascii="Aptos" w:hAnsi="Aptos" w:cs="Arial"/>
          <w:color w:val="000000" w:themeColor="text1"/>
          <w:sz w:val="20"/>
        </w:rPr>
        <w:t xml:space="preserve"> and </w:t>
      </w:r>
      <w:hyperlink r:id="rId40" w:history="1">
        <w:r w:rsidRPr="00CE63A1">
          <w:rPr>
            <w:rStyle w:val="Hyperlink"/>
            <w:rFonts w:cs="Arial"/>
          </w:rPr>
          <w:t>87 FR § 73400</w:t>
        </w:r>
      </w:hyperlink>
      <w:r w:rsidRPr="00CE63A1">
        <w:rPr>
          <w:rFonts w:ascii="Aptos" w:hAnsi="Aptos" w:cs="Arial"/>
          <w:color w:val="000000" w:themeColor="text1"/>
          <w:sz w:val="20"/>
        </w:rPr>
        <w:t>.</w:t>
      </w:r>
    </w:p>
    <w:p w14:paraId="4B9FE375" w14:textId="77777777" w:rsidR="00A83099" w:rsidRPr="00CE63A1" w:rsidRDefault="00A83099" w:rsidP="00A83099">
      <w:pPr>
        <w:pStyle w:val="ListParagraph"/>
        <w:numPr>
          <w:ilvl w:val="1"/>
          <w:numId w:val="14"/>
        </w:numPr>
        <w:shd w:val="clear" w:color="auto" w:fill="FFFFFF" w:themeFill="background1"/>
        <w:spacing w:before="45" w:after="150" w:line="240" w:lineRule="auto"/>
        <w:ind w:left="990" w:hanging="180"/>
        <w:rPr>
          <w:rFonts w:ascii="Aptos" w:hAnsi="Aptos" w:cs="Arial"/>
          <w:color w:val="000000" w:themeColor="text1"/>
          <w:sz w:val="20"/>
        </w:rPr>
      </w:pPr>
      <w:r w:rsidRPr="00CE63A1">
        <w:rPr>
          <w:rFonts w:ascii="Aptos" w:hAnsi="Aptos" w:cs="Arial"/>
          <w:b/>
          <w:bCs/>
          <w:color w:val="000000" w:themeColor="text1"/>
          <w:sz w:val="20"/>
        </w:rPr>
        <w:t>Disabled Veteran-Owned Business (DVB)*</w:t>
      </w:r>
      <w:r w:rsidRPr="00CE63A1">
        <w:rPr>
          <w:rFonts w:ascii="Aptos" w:hAnsi="Aptos" w:cs="Arial"/>
          <w:color w:val="000000" w:themeColor="text1"/>
          <w:sz w:val="20"/>
        </w:rPr>
        <w:t xml:space="preserve"> – A firm that meets the State of Wisconsin definition or federal definition of a disabled veteran-owned business. </w:t>
      </w:r>
    </w:p>
    <w:p w14:paraId="4FE5E5B5" w14:textId="77777777" w:rsidR="00A83099" w:rsidRPr="00CE63A1" w:rsidRDefault="00A83099" w:rsidP="00A83099">
      <w:pPr>
        <w:pStyle w:val="ListParagraph"/>
        <w:shd w:val="clear" w:color="auto" w:fill="FFFFFF" w:themeFill="background1"/>
        <w:spacing w:before="45" w:after="120"/>
        <w:ind w:left="1440"/>
        <w:rPr>
          <w:rFonts w:ascii="Aptos" w:hAnsi="Aptos" w:cs="Arial"/>
          <w:color w:val="000000" w:themeColor="text1"/>
          <w:sz w:val="8"/>
          <w:szCs w:val="8"/>
          <w:u w:val="single"/>
        </w:rPr>
      </w:pPr>
    </w:p>
    <w:p w14:paraId="41AA214D" w14:textId="77777777" w:rsidR="00A83099" w:rsidRPr="00CE63A1" w:rsidRDefault="00A83099" w:rsidP="008E5F8A">
      <w:pPr>
        <w:pStyle w:val="ListParagraph"/>
        <w:shd w:val="clear" w:color="auto" w:fill="FFFFFF" w:themeFill="background1"/>
        <w:spacing w:before="45" w:after="120"/>
        <w:ind w:left="1170"/>
        <w:rPr>
          <w:rFonts w:ascii="Aptos" w:hAnsi="Aptos" w:cs="Arial"/>
          <w:color w:val="000000" w:themeColor="text1"/>
          <w:sz w:val="20"/>
        </w:rPr>
      </w:pPr>
      <w:r w:rsidRPr="00CE63A1">
        <w:rPr>
          <w:rFonts w:ascii="Aptos" w:hAnsi="Aptos" w:cs="Arial"/>
          <w:b/>
          <w:bCs/>
          <w:i/>
          <w:iCs/>
          <w:color w:val="000000" w:themeColor="text1"/>
          <w:sz w:val="20"/>
        </w:rPr>
        <w:t>State definition:</w:t>
      </w:r>
      <w:r w:rsidRPr="00CE63A1">
        <w:rPr>
          <w:rFonts w:ascii="Aptos" w:hAnsi="Aptos" w:cs="Arial"/>
          <w:color w:val="000000" w:themeColor="text1"/>
          <w:sz w:val="20"/>
        </w:rPr>
        <w:t xml:space="preserve"> A firm that is least 51% owned, controlled, and actively managed by one or more service-disabled veterans; is a sole proprietorship, corporation, LLC, or joint ventures; is organized in a for profit basis and currently performing a useful business function; and is not held in trust. If the business is a subsidiary or affiliate, the parent company must be at least 51% owned by a service-disabled veteran owner or service-disabled veteran owners. The headquarters must be located in Wisconsin. A disabled veteran is defined as having a Certificate of Release or Discharge from Active Duty (Form DD214); being a resident of Wisconsin; having a Disability Rating of at least 0% with the Department of Veteran’s Affairs or an Armed Services Branch [</w:t>
      </w:r>
      <w:hyperlink r:id="rId41" w:history="1">
        <w:r w:rsidRPr="00CE63A1">
          <w:rPr>
            <w:rStyle w:val="Hyperlink"/>
            <w:rFonts w:cs="Arial"/>
          </w:rPr>
          <w:t>Wis. Stat. § 16.283(1)(b)</w:t>
        </w:r>
      </w:hyperlink>
      <w:r w:rsidRPr="00CE63A1">
        <w:rPr>
          <w:rFonts w:ascii="Aptos" w:hAnsi="Aptos" w:cs="Arial"/>
          <w:color w:val="000000" w:themeColor="text1"/>
          <w:sz w:val="20"/>
        </w:rPr>
        <w:t xml:space="preserve"> and </w:t>
      </w:r>
      <w:hyperlink r:id="rId42" w:history="1">
        <w:r w:rsidRPr="00CE63A1">
          <w:rPr>
            <w:rStyle w:val="Hyperlink"/>
            <w:rFonts w:cs="Arial"/>
          </w:rPr>
          <w:t>Wis. Admin. Code § 82.22</w:t>
        </w:r>
      </w:hyperlink>
      <w:r w:rsidRPr="00CE63A1">
        <w:rPr>
          <w:rFonts w:ascii="Aptos" w:hAnsi="Aptos" w:cs="Arial"/>
          <w:color w:val="000000" w:themeColor="text1"/>
          <w:sz w:val="20"/>
        </w:rPr>
        <w:t xml:space="preserve">]. </w:t>
      </w:r>
    </w:p>
    <w:p w14:paraId="36CC6AEE" w14:textId="77777777" w:rsidR="00A83099" w:rsidRPr="00CE63A1" w:rsidRDefault="00A83099" w:rsidP="008E5F8A">
      <w:pPr>
        <w:pStyle w:val="ListParagraph"/>
        <w:shd w:val="clear" w:color="auto" w:fill="FFFFFF" w:themeFill="background1"/>
        <w:spacing w:before="45" w:after="120"/>
        <w:ind w:left="1170"/>
        <w:rPr>
          <w:rFonts w:ascii="Aptos" w:hAnsi="Aptos" w:cs="Arial"/>
          <w:color w:val="000000" w:themeColor="text1"/>
          <w:sz w:val="8"/>
          <w:szCs w:val="8"/>
        </w:rPr>
      </w:pPr>
    </w:p>
    <w:p w14:paraId="5B2EEBC6" w14:textId="77777777" w:rsidR="00A83099" w:rsidRPr="00CE63A1" w:rsidRDefault="00A83099" w:rsidP="008E5F8A">
      <w:pPr>
        <w:pStyle w:val="ListParagraph"/>
        <w:shd w:val="clear" w:color="auto" w:fill="FFFFFF" w:themeFill="background1"/>
        <w:spacing w:before="120" w:after="120"/>
        <w:ind w:left="1170"/>
        <w:rPr>
          <w:rFonts w:ascii="Aptos" w:hAnsi="Aptos" w:cs="Arial"/>
          <w:color w:val="000000" w:themeColor="text1"/>
          <w:sz w:val="20"/>
        </w:rPr>
      </w:pPr>
      <w:r w:rsidRPr="00CE63A1">
        <w:rPr>
          <w:rFonts w:ascii="Aptos" w:hAnsi="Aptos" w:cs="Arial"/>
          <w:b/>
          <w:bCs/>
          <w:i/>
          <w:iCs/>
          <w:color w:val="000000" w:themeColor="text1"/>
          <w:sz w:val="20"/>
        </w:rPr>
        <w:t xml:space="preserve">Federal definition: </w:t>
      </w:r>
      <w:r w:rsidRPr="00CE63A1">
        <w:rPr>
          <w:rFonts w:ascii="Aptos" w:hAnsi="Aptos" w:cs="Arial"/>
          <w:color w:val="000000" w:themeColor="text1"/>
          <w:sz w:val="20"/>
        </w:rPr>
        <w:t xml:space="preserve">A firm with ownership that meets the definition of a disabled veteran-owned business according to the </w:t>
      </w:r>
      <w:hyperlink r:id="rId43" w:anchor=":~:text=Be%20identified%20by%20the%20VA,until%20VetCert%20makes%20a%20determination." w:history="1">
        <w:r w:rsidRPr="00CE63A1">
          <w:rPr>
            <w:rStyle w:val="Hyperlink"/>
            <w:rFonts w:cs="Arial"/>
          </w:rPr>
          <w:t>U.S. Small Business Administration</w:t>
        </w:r>
      </w:hyperlink>
      <w:r w:rsidRPr="00CE63A1">
        <w:rPr>
          <w:rFonts w:ascii="Aptos" w:hAnsi="Aptos" w:cs="Arial"/>
          <w:color w:val="000000" w:themeColor="text1"/>
          <w:sz w:val="20"/>
        </w:rPr>
        <w:t xml:space="preserve"> and </w:t>
      </w:r>
      <w:hyperlink r:id="rId44" w:history="1">
        <w:r w:rsidRPr="00CE63A1">
          <w:rPr>
            <w:rStyle w:val="Hyperlink"/>
            <w:rFonts w:cs="Arial"/>
          </w:rPr>
          <w:t>87 FR § 73400</w:t>
        </w:r>
      </w:hyperlink>
    </w:p>
    <w:p w14:paraId="3217F76D" w14:textId="77777777" w:rsidR="00A83099" w:rsidRPr="00CE63A1" w:rsidRDefault="00A83099" w:rsidP="00A83099">
      <w:pPr>
        <w:pStyle w:val="ListParagraph"/>
        <w:shd w:val="clear" w:color="auto" w:fill="FFFFFF" w:themeFill="background1"/>
        <w:spacing w:before="120" w:after="120"/>
        <w:ind w:left="1440"/>
        <w:rPr>
          <w:rFonts w:ascii="Aptos" w:hAnsi="Aptos" w:cs="Arial"/>
          <w:color w:val="000000" w:themeColor="text1"/>
          <w:sz w:val="8"/>
          <w:szCs w:val="8"/>
        </w:rPr>
      </w:pPr>
    </w:p>
    <w:p w14:paraId="5C7BEB09" w14:textId="77777777" w:rsidR="00A83099" w:rsidRPr="00CE63A1" w:rsidRDefault="00A83099" w:rsidP="00A83099">
      <w:pPr>
        <w:pStyle w:val="ListParagraph"/>
        <w:numPr>
          <w:ilvl w:val="1"/>
          <w:numId w:val="14"/>
        </w:numPr>
        <w:shd w:val="clear" w:color="auto" w:fill="FFFFFF" w:themeFill="background1"/>
        <w:spacing w:before="45" w:after="150" w:line="240" w:lineRule="auto"/>
        <w:ind w:left="990" w:hanging="180"/>
        <w:rPr>
          <w:rFonts w:ascii="Aptos" w:hAnsi="Aptos" w:cs="Arial"/>
          <w:color w:val="000000" w:themeColor="text1"/>
          <w:sz w:val="20"/>
        </w:rPr>
      </w:pPr>
      <w:r w:rsidRPr="00CE63A1">
        <w:rPr>
          <w:rFonts w:ascii="Aptos" w:hAnsi="Aptos" w:cs="Arial"/>
          <w:b/>
          <w:bCs/>
          <w:color w:val="000000" w:themeColor="text1"/>
          <w:sz w:val="20"/>
        </w:rPr>
        <w:t xml:space="preserve">Labor Surplus Area Firm </w:t>
      </w:r>
      <w:r w:rsidRPr="00CE63A1">
        <w:rPr>
          <w:rFonts w:ascii="Aptos" w:hAnsi="Aptos" w:cs="Arial"/>
          <w:color w:val="000000" w:themeColor="text1"/>
          <w:sz w:val="20"/>
        </w:rPr>
        <w:t xml:space="preserve">– A business that operates in a “labor surplus area” as designated by the U.S. Department of Labor (USDOL). USDOL publishes a list of LSAs on a fiscal year basis on the </w:t>
      </w:r>
      <w:hyperlink r:id="rId45" w:history="1">
        <w:r w:rsidRPr="00CE63A1">
          <w:rPr>
            <w:rStyle w:val="Hyperlink"/>
            <w:rFonts w:cs="Arial"/>
          </w:rPr>
          <w:t>USDOL Labor Surplus Area website</w:t>
        </w:r>
      </w:hyperlink>
      <w:r w:rsidRPr="00CE63A1">
        <w:rPr>
          <w:rFonts w:ascii="Aptos" w:hAnsi="Aptos" w:cs="Arial"/>
          <w:color w:val="000000" w:themeColor="text1"/>
          <w:sz w:val="20"/>
        </w:rPr>
        <w:t xml:space="preserve"> [</w:t>
      </w:r>
      <w:hyperlink r:id="rId46" w:history="1">
        <w:r w:rsidRPr="00CE63A1">
          <w:rPr>
            <w:rStyle w:val="Hyperlink"/>
            <w:rFonts w:cs="Arial"/>
          </w:rPr>
          <w:t>https://www.dol.gov/agencies/eta/lsa</w:t>
        </w:r>
      </w:hyperlink>
      <w:r w:rsidRPr="00CE63A1">
        <w:rPr>
          <w:rFonts w:ascii="Aptos" w:hAnsi="Aptos" w:cs="Arial"/>
          <w:color w:val="000000" w:themeColor="text1"/>
          <w:sz w:val="20"/>
        </w:rPr>
        <w:t>].</w:t>
      </w:r>
    </w:p>
    <w:p w14:paraId="18F49B54" w14:textId="77777777" w:rsidR="00A83099" w:rsidRPr="00CE63A1" w:rsidRDefault="00A83099" w:rsidP="008E5F8A">
      <w:pPr>
        <w:spacing w:after="80" w:line="240" w:lineRule="auto"/>
        <w:ind w:left="806"/>
        <w:rPr>
          <w:rFonts w:ascii="Aptos" w:hAnsi="Aptos" w:cs="Arial"/>
          <w:sz w:val="20"/>
        </w:rPr>
      </w:pPr>
      <w:r w:rsidRPr="00CE63A1">
        <w:rPr>
          <w:rFonts w:ascii="Aptos" w:hAnsi="Aptos" w:cs="Arial"/>
          <w:sz w:val="20"/>
        </w:rPr>
        <w:t xml:space="preserve">*A directory of MBE, WBE and DVB firms may be accessed on the </w:t>
      </w:r>
      <w:hyperlink r:id="rId47" w:history="1">
        <w:r w:rsidRPr="00CE63A1">
          <w:rPr>
            <w:rStyle w:val="Hyperlink"/>
            <w:rFonts w:cs="Arial"/>
          </w:rPr>
          <w:t>Wisconsin Supplier Diversity Program</w:t>
        </w:r>
      </w:hyperlink>
      <w:r w:rsidRPr="00CE63A1">
        <w:rPr>
          <w:rFonts w:ascii="Aptos" w:hAnsi="Aptos" w:cs="Arial"/>
          <w:sz w:val="20"/>
        </w:rPr>
        <w:t xml:space="preserve"> website [</w:t>
      </w:r>
      <w:hyperlink r:id="rId48" w:history="1">
        <w:r w:rsidRPr="00CE63A1">
          <w:rPr>
            <w:rStyle w:val="Hyperlink"/>
            <w:rFonts w:cs="Arial"/>
          </w:rPr>
          <w:t>https://supplierdiversity.wi.gov/Pages/Home.aspx</w:t>
        </w:r>
      </w:hyperlink>
      <w:r w:rsidRPr="00CE63A1">
        <w:rPr>
          <w:rFonts w:ascii="Aptos" w:hAnsi="Aptos" w:cs="Arial"/>
          <w:sz w:val="20"/>
        </w:rPr>
        <w:t>].</w:t>
      </w:r>
    </w:p>
    <w:p w14:paraId="7AF79DEF" w14:textId="567B71E8" w:rsidR="00A83099" w:rsidRPr="00CE63A1" w:rsidRDefault="00A83099" w:rsidP="00D31D67">
      <w:pPr>
        <w:pStyle w:val="Heading3"/>
      </w:pPr>
      <w:r w:rsidRPr="00CE63A1">
        <w:t>State of Wisconsin Equal Opportunity Goals</w:t>
      </w:r>
    </w:p>
    <w:p w14:paraId="0872D16A" w14:textId="7BF223E5" w:rsidR="00A83099" w:rsidRPr="00CE63A1" w:rsidRDefault="00A83099" w:rsidP="008E5F8A">
      <w:pPr>
        <w:spacing w:after="80" w:line="240" w:lineRule="auto"/>
        <w:ind w:left="360"/>
        <w:rPr>
          <w:rFonts w:ascii="Aptos" w:hAnsi="Aptos" w:cs="Arial"/>
          <w:sz w:val="20"/>
        </w:rPr>
      </w:pPr>
      <w:r w:rsidRPr="00CE63A1">
        <w:rPr>
          <w:rFonts w:ascii="Aptos" w:hAnsi="Aptos" w:cs="Arial"/>
          <w:sz w:val="20"/>
        </w:rPr>
        <w:t xml:space="preserve">The </w:t>
      </w:r>
      <w:hyperlink r:id="rId49" w:anchor=":~:text=WI%20Supplier%20Diversity%20Program&amp;text=The%20Wisconsin%20Supplier%20Diversity%20Program,MBEs%20and%201%25%20with%20DVBs." w:history="1">
        <w:r w:rsidRPr="00CE63A1">
          <w:rPr>
            <w:rStyle w:val="Hyperlink"/>
            <w:rFonts w:cs="Arial"/>
          </w:rPr>
          <w:t xml:space="preserve">Wisconsin Supplier </w:t>
        </w:r>
        <w:r w:rsidRPr="00CE63A1">
          <w:rPr>
            <w:rStyle w:val="Hyperlink"/>
            <w:rFonts w:ascii="Arial" w:hAnsi="Arial" w:cs="Arial"/>
          </w:rPr>
          <w:t>​</w:t>
        </w:r>
        <w:r w:rsidR="00094176" w:rsidRPr="00CE63A1">
          <w:rPr>
            <w:rStyle w:val="Hyperlink"/>
            <w:rFonts w:cs="Arial"/>
          </w:rPr>
          <w:t>Diversity</w:t>
        </w:r>
        <w:r w:rsidR="008E5F8A" w:rsidRPr="00CE63A1">
          <w:rPr>
            <w:rStyle w:val="Hyperlink"/>
            <w:rFonts w:cs="Arial"/>
          </w:rPr>
          <w:t xml:space="preserve"> </w:t>
        </w:r>
        <w:r w:rsidRPr="00CE63A1">
          <w:rPr>
            <w:rStyle w:val="Hyperlink"/>
            <w:rFonts w:cs="Arial"/>
          </w:rPr>
          <w:t>Program (SDP)</w:t>
        </w:r>
      </w:hyperlink>
      <w:r w:rsidRPr="00CE63A1">
        <w:rPr>
          <w:rFonts w:ascii="Aptos" w:hAnsi="Aptos" w:cs="Arial"/>
          <w:sz w:val="20"/>
        </w:rPr>
        <w:t xml:space="preserve"> certifies Minority-Owned (MBE), Service-Disabled Veteran-Owned (DVB) and Woman-Owned (WBE) businesses to provide better opportunities for them to do business with the State of Wisconsin and to assist the State of Wisconsin in achieving its goals for purchasing, including:</w:t>
      </w:r>
    </w:p>
    <w:p w14:paraId="37D87F17" w14:textId="77777777" w:rsidR="00A83099" w:rsidRPr="00CE63A1" w:rsidRDefault="00A83099" w:rsidP="00A83099">
      <w:pPr>
        <w:numPr>
          <w:ilvl w:val="0"/>
          <w:numId w:val="25"/>
        </w:numPr>
        <w:tabs>
          <w:tab w:val="clear" w:pos="720"/>
          <w:tab w:val="num" w:pos="1080"/>
        </w:tabs>
        <w:spacing w:after="0" w:line="240" w:lineRule="auto"/>
        <w:ind w:left="360" w:firstLine="450"/>
        <w:rPr>
          <w:rFonts w:ascii="Aptos" w:hAnsi="Aptos" w:cs="Arial"/>
          <w:sz w:val="20"/>
        </w:rPr>
      </w:pPr>
      <w:r w:rsidRPr="00CE63A1">
        <w:rPr>
          <w:rFonts w:ascii="Aptos" w:hAnsi="Aptos" w:cs="Arial"/>
          <w:sz w:val="20"/>
        </w:rPr>
        <w:lastRenderedPageBreak/>
        <w:t>Minority-Owned Business Enterprises (WBEs): 5% of all State purchasing; and</w:t>
      </w:r>
    </w:p>
    <w:p w14:paraId="079055F3" w14:textId="77777777" w:rsidR="00A83099" w:rsidRPr="00CE63A1" w:rsidRDefault="00A83099" w:rsidP="00A83099">
      <w:pPr>
        <w:numPr>
          <w:ilvl w:val="0"/>
          <w:numId w:val="25"/>
        </w:numPr>
        <w:tabs>
          <w:tab w:val="clear" w:pos="720"/>
          <w:tab w:val="num" w:pos="1080"/>
        </w:tabs>
        <w:spacing w:after="0" w:line="240" w:lineRule="auto"/>
        <w:ind w:left="360" w:firstLine="450"/>
        <w:rPr>
          <w:rFonts w:ascii="Aptos" w:hAnsi="Aptos" w:cs="Arial"/>
          <w:sz w:val="20"/>
        </w:rPr>
      </w:pPr>
      <w:r w:rsidRPr="00CE63A1">
        <w:rPr>
          <w:rFonts w:ascii="Aptos" w:hAnsi="Aptos" w:cs="Arial"/>
          <w:sz w:val="20"/>
        </w:rPr>
        <w:t>Disabled Veteran-Owned Businesses (DBVs): 1% of all State purchasing.</w:t>
      </w:r>
    </w:p>
    <w:p w14:paraId="3E502FBD" w14:textId="79C54FA0" w:rsidR="00CF44E8" w:rsidRPr="00CE63A1" w:rsidRDefault="00F86DDF" w:rsidP="008E5F8A">
      <w:pPr>
        <w:spacing w:after="0" w:line="240" w:lineRule="auto"/>
        <w:ind w:left="360"/>
        <w:rPr>
          <w:rFonts w:ascii="Aptos" w:hAnsi="Aptos" w:cs="Arial"/>
          <w:sz w:val="20"/>
        </w:rPr>
      </w:pPr>
      <w:r w:rsidRPr="00CE63A1">
        <w:rPr>
          <w:rFonts w:ascii="Aptos" w:eastAsia="Times New Roman" w:hAnsi="Aptos" w:cs="Arial"/>
          <w:bCs/>
          <w:sz w:val="20"/>
          <w:szCs w:val="20"/>
        </w:rPr>
        <w:t>HTF</w:t>
      </w:r>
      <w:r w:rsidRPr="00CE63A1">
        <w:rPr>
          <w:sz w:val="18"/>
          <w:szCs w:val="18"/>
        </w:rPr>
        <w:t xml:space="preserve"> </w:t>
      </w:r>
      <w:r w:rsidR="00A83099" w:rsidRPr="00CE63A1">
        <w:rPr>
          <w:rFonts w:ascii="Aptos" w:hAnsi="Aptos" w:cs="Arial"/>
          <w:sz w:val="20"/>
        </w:rPr>
        <w:t>grantees and contractors may also consider these goals for contracting for the grant funded project.</w:t>
      </w:r>
    </w:p>
    <w:p w14:paraId="6AEA4150" w14:textId="77777777" w:rsidR="00A70BBB" w:rsidRPr="00CE63A1" w:rsidRDefault="00A70BBB" w:rsidP="008E5F8A">
      <w:pPr>
        <w:spacing w:after="0" w:line="240" w:lineRule="auto"/>
        <w:ind w:left="360"/>
        <w:rPr>
          <w:sz w:val="18"/>
          <w:szCs w:val="18"/>
        </w:rPr>
        <w:sectPr w:rsidR="00A70BBB" w:rsidRPr="00CE63A1" w:rsidSect="00A30A4F">
          <w:footerReference w:type="default" r:id="rId50"/>
          <w:pgSz w:w="12240" w:h="15840" w:code="1"/>
          <w:pgMar w:top="864" w:right="720" w:bottom="864" w:left="720" w:header="576" w:footer="576" w:gutter="0"/>
          <w:cols w:space="720"/>
          <w:noEndnote/>
        </w:sectPr>
      </w:pPr>
    </w:p>
    <w:p w14:paraId="34C57BEE" w14:textId="74336547" w:rsidR="00A70BBB" w:rsidRPr="00CE63A1" w:rsidRDefault="00A70BBB" w:rsidP="00094176">
      <w:pPr>
        <w:pStyle w:val="Heading2"/>
      </w:pPr>
      <w:r w:rsidRPr="00CE63A1">
        <w:lastRenderedPageBreak/>
        <w:t>NONDISCRIMINATORY CONTRACTS WIS. STAT. § 16.765 COMPLIANCE</w:t>
      </w:r>
    </w:p>
    <w:p w14:paraId="17302691" w14:textId="09DB944C" w:rsidR="00A70BBB" w:rsidRPr="00CE63A1" w:rsidRDefault="00A70BBB" w:rsidP="00094176">
      <w:pPr>
        <w:pStyle w:val="Heading2"/>
      </w:pPr>
      <w:r w:rsidRPr="00CE63A1">
        <w:t xml:space="preserve">CONTRACT </w:t>
      </w:r>
      <w:r w:rsidR="008F58E4" w:rsidRPr="00CE63A1">
        <w:t>REQUIREMENTS</w:t>
      </w:r>
    </w:p>
    <w:p w14:paraId="63D0E019" w14:textId="77777777" w:rsidR="008E5F8A" w:rsidRPr="00CE63A1" w:rsidRDefault="008E5F8A" w:rsidP="00A70BBB">
      <w:pPr>
        <w:kinsoku w:val="0"/>
        <w:overflowPunct w:val="0"/>
        <w:autoSpaceDE w:val="0"/>
        <w:autoSpaceDN w:val="0"/>
        <w:adjustRightInd w:val="0"/>
        <w:spacing w:before="83" w:after="0" w:line="240" w:lineRule="auto"/>
        <w:jc w:val="center"/>
        <w:rPr>
          <w:rFonts w:ascii="Arial" w:hAnsi="Arial" w:cs="Arial"/>
          <w:kern w:val="0"/>
          <w:sz w:val="20"/>
          <w:szCs w:val="20"/>
        </w:rPr>
      </w:pPr>
      <w:r w:rsidRPr="00CE63A1">
        <w:rPr>
          <w:rFonts w:ascii="Arial" w:hAnsi="Arial" w:cs="Arial"/>
          <w:kern w:val="0"/>
          <w:sz w:val="20"/>
          <w:szCs w:val="20"/>
        </w:rPr>
        <w:t>(Applicable to prime contracts and subcontracts exceeding $10,000)</w:t>
      </w:r>
    </w:p>
    <w:p w14:paraId="32B9AB08" w14:textId="77777777" w:rsidR="00094176" w:rsidRPr="00CE63A1" w:rsidRDefault="00094176" w:rsidP="00A70BBB">
      <w:pPr>
        <w:kinsoku w:val="0"/>
        <w:overflowPunct w:val="0"/>
        <w:autoSpaceDE w:val="0"/>
        <w:autoSpaceDN w:val="0"/>
        <w:adjustRightInd w:val="0"/>
        <w:spacing w:before="83" w:after="0" w:line="240" w:lineRule="auto"/>
        <w:jc w:val="center"/>
        <w:rPr>
          <w:rFonts w:ascii="Arial" w:hAnsi="Arial" w:cs="Arial"/>
          <w:kern w:val="0"/>
          <w:sz w:val="20"/>
          <w:szCs w:val="20"/>
        </w:rPr>
      </w:pPr>
    </w:p>
    <w:p w14:paraId="4437A3F4" w14:textId="66FE7BD7" w:rsidR="008E5F8A" w:rsidRPr="00CE63A1" w:rsidRDefault="008E5F8A" w:rsidP="008E5F8A">
      <w:pPr>
        <w:numPr>
          <w:ilvl w:val="1"/>
          <w:numId w:val="13"/>
        </w:numPr>
        <w:spacing w:after="0" w:line="240" w:lineRule="auto"/>
        <w:ind w:left="720"/>
        <w:contextualSpacing/>
        <w:rPr>
          <w:sz w:val="20"/>
          <w:szCs w:val="20"/>
        </w:rPr>
      </w:pPr>
      <w:r w:rsidRPr="00CE63A1">
        <w:rPr>
          <w:b/>
          <w:bCs/>
          <w:i/>
          <w:iCs/>
          <w:sz w:val="20"/>
          <w:szCs w:val="20"/>
        </w:rPr>
        <w:t>Law and Provisions.</w:t>
      </w:r>
      <w:r w:rsidRPr="00CE63A1">
        <w:rPr>
          <w:sz w:val="20"/>
          <w:szCs w:val="20"/>
        </w:rPr>
        <w:t xml:space="preserve"> Except as otherwise provided under </w:t>
      </w:r>
      <w:hyperlink r:id="rId51" w:history="1">
        <w:r w:rsidRPr="00CE63A1">
          <w:rPr>
            <w:rFonts w:ascii="Aptos" w:hAnsi="Aptos"/>
            <w:i/>
            <w:color w:val="467886" w:themeColor="hyperlink"/>
            <w:sz w:val="20"/>
            <w:szCs w:val="20"/>
          </w:rPr>
          <w:t>Wis. Stat. § 16.765</w:t>
        </w:r>
      </w:hyperlink>
      <w:r w:rsidRPr="00CE63A1">
        <w:rPr>
          <w:sz w:val="20"/>
          <w:szCs w:val="20"/>
        </w:rPr>
        <w:t xml:space="preserve">, if the contractor has been awarded a construction contract exceeding $10,000 for the publicly funded </w:t>
      </w:r>
      <w:r w:rsidR="00F86DDF" w:rsidRPr="00CE63A1">
        <w:rPr>
          <w:rFonts w:ascii="Aptos" w:eastAsia="Times New Roman" w:hAnsi="Aptos" w:cs="Arial"/>
          <w:bCs/>
          <w:sz w:val="20"/>
          <w:szCs w:val="20"/>
        </w:rPr>
        <w:t>HTF</w:t>
      </w:r>
      <w:r w:rsidR="00F86DDF" w:rsidRPr="00CE63A1">
        <w:rPr>
          <w:sz w:val="18"/>
          <w:szCs w:val="18"/>
        </w:rPr>
        <w:t xml:space="preserve"> </w:t>
      </w:r>
      <w:r w:rsidRPr="00CE63A1">
        <w:rPr>
          <w:sz w:val="20"/>
          <w:szCs w:val="20"/>
        </w:rPr>
        <w:t xml:space="preserve">project, then the contractor shall comply with, and include in all construction subcontracts that exceed $10,000 for the </w:t>
      </w:r>
      <w:r w:rsidR="00F86DDF" w:rsidRPr="00CE63A1">
        <w:rPr>
          <w:rFonts w:ascii="Aptos" w:eastAsia="Times New Roman" w:hAnsi="Aptos" w:cs="Arial"/>
          <w:bCs/>
          <w:sz w:val="20"/>
          <w:szCs w:val="20"/>
        </w:rPr>
        <w:t>HTF</w:t>
      </w:r>
      <w:r w:rsidR="00F86DDF" w:rsidRPr="00CE63A1">
        <w:rPr>
          <w:sz w:val="18"/>
          <w:szCs w:val="18"/>
        </w:rPr>
        <w:t xml:space="preserve"> </w:t>
      </w:r>
      <w:r w:rsidRPr="00CE63A1">
        <w:rPr>
          <w:sz w:val="20"/>
          <w:szCs w:val="20"/>
        </w:rPr>
        <w:t>project, the equal opportunity clause provided in this section.</w:t>
      </w:r>
    </w:p>
    <w:p w14:paraId="2599A1A2" w14:textId="0F9DD7AB" w:rsidR="008E5F8A" w:rsidRPr="00CE63A1" w:rsidRDefault="008E5F8A" w:rsidP="008E5F8A">
      <w:pPr>
        <w:numPr>
          <w:ilvl w:val="1"/>
          <w:numId w:val="13"/>
        </w:numPr>
        <w:tabs>
          <w:tab w:val="left" w:pos="1170"/>
        </w:tabs>
        <w:spacing w:after="0" w:line="240" w:lineRule="auto"/>
        <w:ind w:left="720"/>
        <w:contextualSpacing/>
        <w:rPr>
          <w:rFonts w:eastAsia="Times New Roman" w:cs="Times New Roman"/>
          <w:kern w:val="0"/>
          <w:sz w:val="20"/>
          <w:szCs w:val="20"/>
          <w14:ligatures w14:val="none"/>
        </w:rPr>
      </w:pPr>
      <w:r w:rsidRPr="00CE63A1">
        <w:rPr>
          <w:rFonts w:eastAsia="Times New Roman" w:cs="Times New Roman"/>
          <w:b/>
          <w:bCs/>
          <w:i/>
          <w:iCs/>
          <w:kern w:val="0"/>
          <w:sz w:val="20"/>
          <w:szCs w:val="20"/>
          <w14:ligatures w14:val="none"/>
        </w:rPr>
        <w:t xml:space="preserve">Contract Language. </w:t>
      </w:r>
      <w:r w:rsidRPr="00CE63A1">
        <w:rPr>
          <w:rFonts w:eastAsia="Times New Roman" w:cs="Times New Roman"/>
          <w:kern w:val="0"/>
          <w:sz w:val="20"/>
          <w:szCs w:val="20"/>
          <w14:ligatures w14:val="none"/>
        </w:rPr>
        <w:t xml:space="preserve">Except as otherwise provided, the </w:t>
      </w:r>
      <w:r w:rsidR="00F86DDF" w:rsidRPr="00CE63A1">
        <w:rPr>
          <w:rFonts w:ascii="Aptos" w:eastAsia="Times New Roman" w:hAnsi="Aptos" w:cs="Arial"/>
          <w:bCs/>
          <w:sz w:val="20"/>
          <w:szCs w:val="20"/>
        </w:rPr>
        <w:t>HTF</w:t>
      </w:r>
      <w:r w:rsidR="00F86DDF" w:rsidRPr="00CE63A1">
        <w:rPr>
          <w:sz w:val="18"/>
          <w:szCs w:val="18"/>
        </w:rPr>
        <w:t xml:space="preserve"> </w:t>
      </w:r>
      <w:r w:rsidRPr="00CE63A1">
        <w:rPr>
          <w:rFonts w:eastAsia="Times New Roman" w:cs="Times New Roman"/>
          <w:kern w:val="0"/>
          <w:sz w:val="20"/>
          <w:szCs w:val="20"/>
          <w14:ligatures w14:val="none"/>
        </w:rPr>
        <w:t xml:space="preserve">grantee, grant subrecipient, each prime contractor and each subcontractor is required to agree to the terms and include the following language as a condition of any contract for the </w:t>
      </w:r>
      <w:r w:rsidR="00F86DDF" w:rsidRPr="00CE63A1">
        <w:rPr>
          <w:rFonts w:ascii="Aptos" w:eastAsia="Times New Roman" w:hAnsi="Aptos" w:cs="Arial"/>
          <w:bCs/>
          <w:sz w:val="20"/>
          <w:szCs w:val="20"/>
        </w:rPr>
        <w:t>HTF</w:t>
      </w:r>
      <w:r w:rsidR="00F86DDF" w:rsidRPr="00CE63A1">
        <w:rPr>
          <w:sz w:val="18"/>
          <w:szCs w:val="18"/>
        </w:rPr>
        <w:t xml:space="preserve"> </w:t>
      </w:r>
      <w:r w:rsidRPr="00CE63A1">
        <w:rPr>
          <w:rFonts w:eastAsia="Times New Roman" w:cs="Times New Roman"/>
          <w:kern w:val="0"/>
          <w:sz w:val="20"/>
          <w:szCs w:val="20"/>
          <w14:ligatures w14:val="none"/>
        </w:rPr>
        <w:t>project:</w:t>
      </w:r>
    </w:p>
    <w:p w14:paraId="11DA7D1A" w14:textId="77777777" w:rsidR="008E5F8A" w:rsidRPr="00CE63A1" w:rsidRDefault="008E5F8A" w:rsidP="008E5F8A">
      <w:pPr>
        <w:spacing w:after="0" w:line="240" w:lineRule="auto"/>
        <w:ind w:left="990"/>
        <w:rPr>
          <w:rFonts w:cs="Arial"/>
          <w:sz w:val="20"/>
          <w:szCs w:val="20"/>
        </w:rPr>
      </w:pPr>
    </w:p>
    <w:p w14:paraId="05FDF93C" w14:textId="77777777" w:rsidR="008E5F8A" w:rsidRPr="00CE63A1" w:rsidRDefault="008E5F8A" w:rsidP="008E5F8A">
      <w:pPr>
        <w:spacing w:after="120"/>
        <w:ind w:left="720"/>
        <w:rPr>
          <w:rFonts w:cs="Arial"/>
          <w:sz w:val="20"/>
          <w:szCs w:val="20"/>
        </w:rPr>
      </w:pPr>
      <w:r w:rsidRPr="00CE63A1">
        <w:rPr>
          <w:rFonts w:cs="Arial"/>
          <w:sz w:val="20"/>
          <w:szCs w:val="20"/>
        </w:rPr>
        <w:t>As used in these specifications: (</w:t>
      </w:r>
      <w:bookmarkStart w:id="10" w:name="_Hlk145534981"/>
      <w:r w:rsidRPr="00CE63A1">
        <w:rPr>
          <w:rFonts w:cs="Arial"/>
          <w:color w:val="074F6A" w:themeColor="accent4" w:themeShade="80"/>
          <w:sz w:val="20"/>
          <w:szCs w:val="20"/>
        </w:rPr>
        <w:fldChar w:fldCharType="begin"/>
      </w:r>
      <w:r w:rsidRPr="00CE63A1">
        <w:rPr>
          <w:rFonts w:cs="Arial"/>
          <w:color w:val="074F6A" w:themeColor="accent4" w:themeShade="80"/>
          <w:sz w:val="20"/>
          <w:szCs w:val="20"/>
        </w:rPr>
        <w:instrText>HYPERLINK "https://docs.legis.wisconsin.gov/statutes/statutes/16/iv/765"</w:instrText>
      </w:r>
      <w:r w:rsidRPr="00CE63A1">
        <w:rPr>
          <w:rFonts w:cs="Arial"/>
          <w:color w:val="074F6A" w:themeColor="accent4" w:themeShade="80"/>
          <w:sz w:val="20"/>
          <w:szCs w:val="20"/>
        </w:rPr>
      </w:r>
      <w:r w:rsidRPr="00CE63A1">
        <w:rPr>
          <w:rFonts w:cs="Arial"/>
          <w:color w:val="074F6A" w:themeColor="accent4" w:themeShade="80"/>
          <w:sz w:val="20"/>
          <w:szCs w:val="20"/>
        </w:rPr>
        <w:fldChar w:fldCharType="separate"/>
      </w:r>
      <w:r w:rsidRPr="00CE63A1">
        <w:rPr>
          <w:rFonts w:ascii="Aptos" w:hAnsi="Aptos" w:cs="Arial"/>
          <w:i/>
          <w:color w:val="074F6A" w:themeColor="accent4" w:themeShade="80"/>
          <w:sz w:val="20"/>
          <w:szCs w:val="20"/>
        </w:rPr>
        <w:t>Wis. Stat. § 16.765</w:t>
      </w:r>
      <w:r w:rsidRPr="00CE63A1">
        <w:rPr>
          <w:rFonts w:cs="Arial"/>
          <w:color w:val="074F6A" w:themeColor="accent4" w:themeShade="80"/>
          <w:sz w:val="20"/>
          <w:szCs w:val="20"/>
        </w:rPr>
        <w:fldChar w:fldCharType="end"/>
      </w:r>
      <w:bookmarkEnd w:id="10"/>
      <w:r w:rsidRPr="00CE63A1">
        <w:rPr>
          <w:rFonts w:cs="Arial"/>
          <w:sz w:val="20"/>
          <w:szCs w:val="20"/>
        </w:rPr>
        <w:t>)</w:t>
      </w:r>
    </w:p>
    <w:p w14:paraId="7B4F1B68" w14:textId="77777777" w:rsidR="008E5F8A" w:rsidRPr="00CE63A1" w:rsidRDefault="008E5F8A" w:rsidP="008E5F8A">
      <w:pPr>
        <w:numPr>
          <w:ilvl w:val="0"/>
          <w:numId w:val="15"/>
        </w:numPr>
        <w:shd w:val="clear" w:color="auto" w:fill="FFFFFF"/>
        <w:tabs>
          <w:tab w:val="clear" w:pos="720"/>
          <w:tab w:val="num" w:pos="1170"/>
        </w:tabs>
        <w:spacing w:before="43" w:after="43" w:line="240" w:lineRule="auto"/>
        <w:ind w:left="1170" w:hanging="450"/>
        <w:contextualSpacing/>
        <w:rPr>
          <w:rFonts w:cs="Arial"/>
          <w:color w:val="000000"/>
          <w:sz w:val="20"/>
          <w:szCs w:val="20"/>
        </w:rPr>
      </w:pPr>
      <w:bookmarkStart w:id="11" w:name="_Hlk194936336"/>
      <w:r w:rsidRPr="00CE63A1">
        <w:rPr>
          <w:rFonts w:cs="Arial"/>
          <w:color w:val="000000"/>
          <w:sz w:val="20"/>
          <w:szCs w:val="20"/>
        </w:rPr>
        <w:t xml:space="preserve">Grantees, subrecipients, contractors and subcontractors </w:t>
      </w:r>
      <w:bookmarkEnd w:id="11"/>
      <w:r w:rsidRPr="00CE63A1">
        <w:rPr>
          <w:rFonts w:cs="Arial"/>
          <w:color w:val="000000"/>
          <w:sz w:val="20"/>
          <w:szCs w:val="20"/>
        </w:rPr>
        <w:t xml:space="preserve">shall include in all contracts executed by them a provision obligating the contractor not to discriminate against any employee or applicant for employment because of age, race, religion, color, handicap, sex, physical condition, developmental disability as defined in </w:t>
      </w:r>
      <w:hyperlink r:id="rId52" w:tooltip="Statutes 51.01(5)" w:history="1">
        <w:r w:rsidRPr="00CE63A1">
          <w:rPr>
            <w:rFonts w:ascii="Aptos" w:hAnsi="Aptos" w:cs="Arial"/>
            <w:i/>
            <w:color w:val="467886" w:themeColor="hyperlink"/>
            <w:sz w:val="20"/>
            <w:szCs w:val="20"/>
          </w:rPr>
          <w:t>§</w:t>
        </w:r>
        <w:r w:rsidRPr="00CE63A1">
          <w:rPr>
            <w:rFonts w:ascii="Aptos" w:hAnsi="Aptos"/>
            <w:i/>
            <w:color w:val="467886" w:themeColor="hyperlink"/>
            <w:sz w:val="20"/>
            <w:szCs w:val="20"/>
          </w:rPr>
          <w:t> </w:t>
        </w:r>
        <w:r w:rsidRPr="00CE63A1">
          <w:rPr>
            <w:rFonts w:ascii="Aptos" w:hAnsi="Aptos" w:cs="Arial"/>
            <w:i/>
            <w:color w:val="467886" w:themeColor="hyperlink"/>
            <w:sz w:val="20"/>
            <w:szCs w:val="20"/>
          </w:rPr>
          <w:t>51.01 (5)</w:t>
        </w:r>
      </w:hyperlink>
      <w:r w:rsidRPr="00CE63A1">
        <w:rPr>
          <w:rFonts w:cs="Arial"/>
          <w:color w:val="000000"/>
          <w:sz w:val="20"/>
          <w:szCs w:val="20"/>
        </w:rPr>
        <w:t xml:space="preserve">, sexual orientation as defined in </w:t>
      </w:r>
      <w:hyperlink r:id="rId53" w:tooltip="Statutes 111.32(13m)" w:history="1">
        <w:r w:rsidRPr="00CE63A1">
          <w:rPr>
            <w:rFonts w:ascii="Aptos" w:hAnsi="Aptos" w:cs="Arial"/>
            <w:i/>
            <w:color w:val="467886" w:themeColor="hyperlink"/>
            <w:sz w:val="20"/>
            <w:szCs w:val="20"/>
          </w:rPr>
          <w:t>§</w:t>
        </w:r>
        <w:r w:rsidRPr="00CE63A1">
          <w:rPr>
            <w:rFonts w:ascii="Aptos" w:hAnsi="Aptos"/>
            <w:i/>
            <w:color w:val="467886" w:themeColor="hyperlink"/>
            <w:sz w:val="20"/>
            <w:szCs w:val="20"/>
          </w:rPr>
          <w:t> </w:t>
        </w:r>
        <w:r w:rsidRPr="00CE63A1">
          <w:rPr>
            <w:rFonts w:ascii="Aptos" w:hAnsi="Aptos" w:cs="Arial"/>
            <w:i/>
            <w:color w:val="467886" w:themeColor="hyperlink"/>
            <w:sz w:val="20"/>
            <w:szCs w:val="20"/>
          </w:rPr>
          <w:t>111.32 (13m)</w:t>
        </w:r>
      </w:hyperlink>
      <w:r w:rsidRPr="00CE63A1">
        <w:rPr>
          <w:rFonts w:cs="Arial"/>
          <w:color w:val="000000"/>
          <w:sz w:val="20"/>
          <w:szCs w:val="20"/>
        </w:rPr>
        <w:t xml:space="preserve">, or national origin and, except with respect to sexual orientation, obligating the contractor to take affirmative action to ensure equal employment opportunities. </w:t>
      </w:r>
    </w:p>
    <w:p w14:paraId="24DB4FDB" w14:textId="77777777" w:rsidR="008E5F8A" w:rsidRPr="00CE63A1" w:rsidRDefault="008E5F8A" w:rsidP="008E5F8A">
      <w:pPr>
        <w:numPr>
          <w:ilvl w:val="0"/>
          <w:numId w:val="15"/>
        </w:numPr>
        <w:shd w:val="clear" w:color="auto" w:fill="FFFFFF"/>
        <w:tabs>
          <w:tab w:val="clear" w:pos="720"/>
          <w:tab w:val="num" w:pos="1170"/>
        </w:tabs>
        <w:spacing w:before="43" w:after="43" w:line="240" w:lineRule="auto"/>
        <w:ind w:left="1170" w:hanging="450"/>
        <w:contextualSpacing/>
        <w:rPr>
          <w:rFonts w:cs="Arial"/>
          <w:color w:val="000000"/>
          <w:sz w:val="20"/>
          <w:szCs w:val="20"/>
        </w:rPr>
      </w:pPr>
      <w:r w:rsidRPr="00CE63A1">
        <w:rPr>
          <w:rFonts w:cs="Arial"/>
          <w:color w:val="000000"/>
          <w:sz w:val="20"/>
          <w:szCs w:val="20"/>
        </w:rPr>
        <w:t xml:space="preserve">Grantees, subrecipients, contractors and subcontractors shall include the following provision in every contract executed by them: </w:t>
      </w:r>
    </w:p>
    <w:p w14:paraId="0C934DC4" w14:textId="77777777" w:rsidR="008E5F8A" w:rsidRPr="00CE63A1" w:rsidRDefault="008E5F8A" w:rsidP="008E5F8A">
      <w:pPr>
        <w:shd w:val="clear" w:color="auto" w:fill="FFFFFF"/>
        <w:spacing w:before="43" w:after="43" w:line="240" w:lineRule="auto"/>
        <w:ind w:left="1440"/>
        <w:contextualSpacing/>
        <w:rPr>
          <w:rFonts w:cs="Arial"/>
          <w:color w:val="000000"/>
          <w:sz w:val="20"/>
          <w:szCs w:val="20"/>
        </w:rPr>
      </w:pPr>
      <w:r w:rsidRPr="00CE63A1">
        <w:rPr>
          <w:rFonts w:cs="Arial"/>
          <w:color w:val="000000"/>
          <w:sz w:val="20"/>
          <w:szCs w:val="20"/>
        </w:rPr>
        <w:t xml:space="preserve">“In connection with the performance of work under this contract, the contractor agrees not to discriminate against any employee or applicant for employment because of age, race, religion, color, handicap, sex, physical condition, developmental disability as defined in </w:t>
      </w:r>
      <w:hyperlink r:id="rId54" w:tooltip="Statutes 51.01(5)" w:history="1">
        <w:r w:rsidRPr="00CE63A1">
          <w:rPr>
            <w:rFonts w:ascii="Aptos" w:hAnsi="Aptos" w:cs="Arial"/>
            <w:i/>
            <w:color w:val="467886" w:themeColor="hyperlink"/>
            <w:sz w:val="20"/>
            <w:szCs w:val="20"/>
          </w:rPr>
          <w:t>§</w:t>
        </w:r>
        <w:r w:rsidRPr="00CE63A1">
          <w:rPr>
            <w:rFonts w:ascii="Aptos" w:hAnsi="Aptos"/>
            <w:i/>
            <w:color w:val="467886" w:themeColor="hyperlink"/>
            <w:sz w:val="20"/>
            <w:szCs w:val="20"/>
          </w:rPr>
          <w:t> </w:t>
        </w:r>
        <w:r w:rsidRPr="00CE63A1">
          <w:rPr>
            <w:rFonts w:ascii="Aptos" w:hAnsi="Aptos" w:cs="Arial"/>
            <w:i/>
            <w:color w:val="467886" w:themeColor="hyperlink"/>
            <w:sz w:val="20"/>
            <w:szCs w:val="20"/>
          </w:rPr>
          <w:t>51.01 (5)</w:t>
        </w:r>
      </w:hyperlink>
      <w:r w:rsidRPr="00CE63A1">
        <w:rPr>
          <w:rFonts w:cs="Arial"/>
          <w:color w:val="000000"/>
          <w:sz w:val="20"/>
          <w:szCs w:val="20"/>
        </w:rPr>
        <w:t>, sexual orientation or national origin. This provision shall include, but not be limited to, the following: employment, upgrading, demotion or transfer; recruitment or recruitment advertising; layoff or termination; rates of pay or other forms of compensation; and selection for training, including apprenticeship. Except with respect to sexual orientation, the contractor further agrees to take affirmative action to ensure equal employment opportunities. The contractor agrees to post in conspicuous places, available for employees and applicants for employment, notices to be provided by the contracting officer setting forth the provisions of the nondiscrimination clause”. Pursuant to 2019 Wisconsin Executive Order 1, the contractor agrees it will hire only on the basis of merit and will not discriminate against any persons performing a contract or subcontract because of military or veteran status, gender identity or expression, marital or familial status, genetic information or political affiliation.</w:t>
      </w:r>
    </w:p>
    <w:p w14:paraId="0A1B1D71" w14:textId="77777777" w:rsidR="008E5F8A" w:rsidRPr="00CE63A1" w:rsidRDefault="008E5F8A" w:rsidP="008E5F8A">
      <w:pPr>
        <w:numPr>
          <w:ilvl w:val="0"/>
          <w:numId w:val="15"/>
        </w:numPr>
        <w:shd w:val="clear" w:color="auto" w:fill="FFFFFF"/>
        <w:tabs>
          <w:tab w:val="clear" w:pos="720"/>
          <w:tab w:val="num" w:pos="1170"/>
        </w:tabs>
        <w:spacing w:before="43" w:after="43" w:line="240" w:lineRule="auto"/>
        <w:ind w:left="1170" w:hanging="450"/>
        <w:contextualSpacing/>
        <w:rPr>
          <w:rFonts w:cs="Arial"/>
          <w:color w:val="000000"/>
          <w:sz w:val="20"/>
          <w:szCs w:val="20"/>
        </w:rPr>
      </w:pPr>
      <w:r w:rsidRPr="00CE63A1">
        <w:rPr>
          <w:rFonts w:cs="Arial"/>
          <w:color w:val="000000"/>
          <w:sz w:val="20"/>
          <w:szCs w:val="20"/>
        </w:rPr>
        <w:t>Subsections </w:t>
      </w:r>
      <w:hyperlink r:id="rId55" w:tooltip="Statutes 16.765(1)" w:history="1">
        <w:r w:rsidRPr="00CE63A1">
          <w:rPr>
            <w:rFonts w:ascii="Aptos" w:hAnsi="Aptos" w:cs="Arial"/>
            <w:i/>
            <w:color w:val="426986"/>
            <w:sz w:val="20"/>
            <w:szCs w:val="20"/>
          </w:rPr>
          <w:t>(1)</w:t>
        </w:r>
      </w:hyperlink>
      <w:r w:rsidRPr="00CE63A1">
        <w:rPr>
          <w:rFonts w:cs="Arial"/>
          <w:color w:val="000000"/>
          <w:sz w:val="20"/>
          <w:szCs w:val="20"/>
        </w:rPr>
        <w:t> and </w:t>
      </w:r>
      <w:hyperlink r:id="rId56" w:tooltip="Statutes 16.765(2)" w:history="1">
        <w:r w:rsidRPr="00CE63A1">
          <w:rPr>
            <w:rFonts w:ascii="Aptos" w:hAnsi="Aptos" w:cs="Arial"/>
            <w:i/>
            <w:color w:val="426986"/>
            <w:sz w:val="20"/>
            <w:szCs w:val="20"/>
          </w:rPr>
          <w:t>(2)</w:t>
        </w:r>
      </w:hyperlink>
      <w:r w:rsidRPr="00CE63A1">
        <w:rPr>
          <w:rFonts w:cs="Arial"/>
          <w:color w:val="000000"/>
          <w:sz w:val="20"/>
          <w:szCs w:val="20"/>
        </w:rPr>
        <w:t xml:space="preserve"> of </w:t>
      </w:r>
      <w:hyperlink r:id="rId57" w:history="1">
        <w:r w:rsidRPr="00CE63A1">
          <w:rPr>
            <w:rFonts w:ascii="Aptos" w:hAnsi="Aptos" w:cs="Arial"/>
            <w:i/>
            <w:color w:val="467886" w:themeColor="hyperlink"/>
            <w:sz w:val="20"/>
            <w:szCs w:val="20"/>
          </w:rPr>
          <w:t>§</w:t>
        </w:r>
        <w:r w:rsidRPr="00CE63A1">
          <w:rPr>
            <w:rFonts w:ascii="Aptos" w:hAnsi="Aptos"/>
            <w:i/>
            <w:color w:val="467886" w:themeColor="hyperlink"/>
            <w:sz w:val="20"/>
            <w:szCs w:val="20"/>
          </w:rPr>
          <w:t xml:space="preserve"> </w:t>
        </w:r>
        <w:r w:rsidRPr="00CE63A1">
          <w:rPr>
            <w:rFonts w:ascii="Aptos" w:hAnsi="Aptos" w:cs="Arial"/>
            <w:i/>
            <w:color w:val="233C43" w:themeColor="hyperlink" w:themeShade="80"/>
            <w:sz w:val="20"/>
            <w:szCs w:val="20"/>
          </w:rPr>
          <w:t>16.765</w:t>
        </w:r>
      </w:hyperlink>
      <w:r w:rsidRPr="00CE63A1">
        <w:rPr>
          <w:rFonts w:cs="Arial"/>
          <w:color w:val="000000"/>
          <w:sz w:val="20"/>
          <w:szCs w:val="20"/>
        </w:rPr>
        <w:t xml:space="preserve"> shall not apply to contracts to meet special requirements or emergencies, if approved by the Department.</w:t>
      </w:r>
    </w:p>
    <w:p w14:paraId="4D45253B" w14:textId="77777777" w:rsidR="008E5F8A" w:rsidRPr="00CE63A1" w:rsidRDefault="008E5F8A" w:rsidP="008E5F8A">
      <w:pPr>
        <w:numPr>
          <w:ilvl w:val="0"/>
          <w:numId w:val="15"/>
        </w:numPr>
        <w:shd w:val="clear" w:color="auto" w:fill="FFFFFF"/>
        <w:tabs>
          <w:tab w:val="clear" w:pos="720"/>
          <w:tab w:val="num" w:pos="1170"/>
        </w:tabs>
        <w:spacing w:before="43" w:after="43" w:line="240" w:lineRule="auto"/>
        <w:ind w:left="1170" w:hanging="450"/>
        <w:contextualSpacing/>
        <w:rPr>
          <w:rFonts w:cs="Arial"/>
          <w:color w:val="000000"/>
          <w:sz w:val="20"/>
          <w:szCs w:val="20"/>
        </w:rPr>
      </w:pPr>
      <w:r w:rsidRPr="00CE63A1">
        <w:rPr>
          <w:rFonts w:cs="Arial"/>
          <w:color w:val="000000"/>
          <w:sz w:val="20"/>
          <w:szCs w:val="20"/>
        </w:rPr>
        <w:t>Grantees, subrecipients, contractors and subcontractors shall take appropriate action to revise the standard contract forms under this section.</w:t>
      </w:r>
    </w:p>
    <w:p w14:paraId="70B23693" w14:textId="77777777" w:rsidR="008E5F8A" w:rsidRPr="00CE63A1" w:rsidRDefault="008E5F8A" w:rsidP="008E5F8A">
      <w:pPr>
        <w:numPr>
          <w:ilvl w:val="0"/>
          <w:numId w:val="15"/>
        </w:numPr>
        <w:shd w:val="clear" w:color="auto" w:fill="FFFFFF"/>
        <w:tabs>
          <w:tab w:val="clear" w:pos="720"/>
          <w:tab w:val="num" w:pos="1170"/>
        </w:tabs>
        <w:spacing w:before="43" w:after="43" w:line="240" w:lineRule="auto"/>
        <w:ind w:left="1170" w:hanging="450"/>
        <w:contextualSpacing/>
        <w:rPr>
          <w:rFonts w:cs="Arial"/>
          <w:color w:val="000000"/>
          <w:sz w:val="20"/>
          <w:szCs w:val="20"/>
        </w:rPr>
      </w:pPr>
      <w:r w:rsidRPr="00CE63A1">
        <w:rPr>
          <w:rFonts w:cs="Arial"/>
          <w:color w:val="000000"/>
          <w:sz w:val="20"/>
          <w:szCs w:val="20"/>
        </w:rPr>
        <w:t>The chief elected official of the grantee and the owner(s) or chief executive officer of a prime contractor shall be primarily responsible for obtaining compliance by contractors and subcontractors with the nondiscrimination and affirmative action provisions prescribed by this section, according to procedures recommended by the granting entity. The grantee shall provide any recommendations from the State granting agency to the subrecipient, contractors and subcontractors for improving and making more effective the nondiscrimination and affirmative action provisions of contracts. The Department of Administration (DOA), referred to as “the Department” hereafter, and the Division of Energy, Housing and Community Resources (DEHCR), as the granting agency, shall promulgate such rules as may be necessary for the performance of the State’s functions under this section.</w:t>
      </w:r>
    </w:p>
    <w:p w14:paraId="7FE4A60D" w14:textId="77777777" w:rsidR="008E5F8A" w:rsidRPr="00CE63A1" w:rsidRDefault="008E5F8A" w:rsidP="008E5F8A">
      <w:pPr>
        <w:numPr>
          <w:ilvl w:val="0"/>
          <w:numId w:val="15"/>
        </w:numPr>
        <w:shd w:val="clear" w:color="auto" w:fill="FFFFFF"/>
        <w:tabs>
          <w:tab w:val="clear" w:pos="720"/>
          <w:tab w:val="num" w:pos="1170"/>
        </w:tabs>
        <w:spacing w:before="43" w:after="43" w:line="240" w:lineRule="auto"/>
        <w:ind w:left="1170" w:hanging="450"/>
        <w:contextualSpacing/>
        <w:rPr>
          <w:rFonts w:cs="Arial"/>
          <w:color w:val="000000"/>
          <w:sz w:val="20"/>
          <w:szCs w:val="20"/>
        </w:rPr>
      </w:pPr>
      <w:r w:rsidRPr="00CE63A1">
        <w:rPr>
          <w:rFonts w:cs="Arial"/>
          <w:color w:val="000000"/>
          <w:sz w:val="20"/>
          <w:szCs w:val="20"/>
        </w:rPr>
        <w:t>The Department may receive complaints of alleged violations of the nondiscrimination provisions of such contracts. The Department shall investigate and determine whether a violation of this section has occurred. The Department may delegate this authority to DEHCR or the grantee for processing in accordance with the Department’s procedures.</w:t>
      </w:r>
    </w:p>
    <w:p w14:paraId="01C33C49" w14:textId="77777777" w:rsidR="008E5F8A" w:rsidRPr="00CE63A1" w:rsidRDefault="008E5F8A" w:rsidP="008E5F8A">
      <w:pPr>
        <w:numPr>
          <w:ilvl w:val="0"/>
          <w:numId w:val="15"/>
        </w:numPr>
        <w:shd w:val="clear" w:color="auto" w:fill="FFFFFF"/>
        <w:tabs>
          <w:tab w:val="clear" w:pos="720"/>
          <w:tab w:val="num" w:pos="1170"/>
        </w:tabs>
        <w:spacing w:before="43" w:after="43" w:line="240" w:lineRule="auto"/>
        <w:ind w:left="1170" w:hanging="450"/>
        <w:contextualSpacing/>
        <w:rPr>
          <w:rFonts w:cs="Arial"/>
          <w:color w:val="000000"/>
          <w:sz w:val="20"/>
          <w:szCs w:val="20"/>
        </w:rPr>
      </w:pPr>
      <w:r w:rsidRPr="00CE63A1">
        <w:rPr>
          <w:rFonts w:cs="Arial"/>
          <w:color w:val="000000"/>
          <w:sz w:val="20"/>
          <w:szCs w:val="20"/>
        </w:rPr>
        <w:t xml:space="preserve">When a violation of this section has been determined by the Department, it will be handled and processed by the Department and DEHCR in accordance with </w:t>
      </w:r>
      <w:hyperlink r:id="rId58" w:history="1">
        <w:r w:rsidRPr="00CE63A1">
          <w:rPr>
            <w:rFonts w:ascii="Aptos" w:hAnsi="Aptos" w:cs="Arial"/>
            <w:i/>
            <w:color w:val="074F6A" w:themeColor="accent4" w:themeShade="80"/>
            <w:sz w:val="20"/>
            <w:szCs w:val="20"/>
          </w:rPr>
          <w:t>Wis. Stat. § 16.765</w:t>
        </w:r>
      </w:hyperlink>
      <w:r w:rsidRPr="00CE63A1">
        <w:rPr>
          <w:rFonts w:cs="Arial"/>
          <w:color w:val="000000"/>
          <w:sz w:val="20"/>
          <w:szCs w:val="20"/>
        </w:rPr>
        <w:t>.</w:t>
      </w:r>
    </w:p>
    <w:p w14:paraId="237EBD6E" w14:textId="5035FCC7" w:rsidR="004008D4" w:rsidRPr="00CE63A1" w:rsidRDefault="004008D4" w:rsidP="004008D4">
      <w:pPr>
        <w:tabs>
          <w:tab w:val="left" w:pos="3900"/>
        </w:tabs>
        <w:rPr>
          <w:rFonts w:cs="Arial"/>
          <w:sz w:val="20"/>
          <w:szCs w:val="20"/>
        </w:rPr>
      </w:pPr>
      <w:r w:rsidRPr="00CE63A1">
        <w:rPr>
          <w:rFonts w:cs="Arial"/>
          <w:sz w:val="20"/>
          <w:szCs w:val="20"/>
        </w:rPr>
        <w:tab/>
      </w:r>
    </w:p>
    <w:p w14:paraId="39EC5DDD" w14:textId="77777777" w:rsidR="008E5F8A" w:rsidRPr="00CE63A1" w:rsidRDefault="008E5F8A" w:rsidP="008E5F8A">
      <w:pPr>
        <w:numPr>
          <w:ilvl w:val="0"/>
          <w:numId w:val="15"/>
        </w:numPr>
        <w:shd w:val="clear" w:color="auto" w:fill="FFFFFF"/>
        <w:tabs>
          <w:tab w:val="clear" w:pos="720"/>
          <w:tab w:val="num" w:pos="1170"/>
        </w:tabs>
        <w:spacing w:before="43" w:after="43" w:line="240" w:lineRule="auto"/>
        <w:ind w:left="1170" w:hanging="450"/>
        <w:contextualSpacing/>
        <w:rPr>
          <w:rFonts w:cs="Arial"/>
          <w:color w:val="000000"/>
          <w:sz w:val="20"/>
          <w:szCs w:val="20"/>
        </w:rPr>
      </w:pPr>
      <w:r w:rsidRPr="00CE63A1">
        <w:rPr>
          <w:rFonts w:cs="Arial"/>
          <w:color w:val="000000"/>
          <w:sz w:val="20"/>
          <w:szCs w:val="20"/>
        </w:rPr>
        <w:lastRenderedPageBreak/>
        <w:t xml:space="preserve">The Department shall refer any individual complaints of discrimination which are subject to investigation under </w:t>
      </w:r>
      <w:hyperlink r:id="rId59" w:tooltip="Statutes subch. II of ch. 111" w:history="1">
        <w:proofErr w:type="spellStart"/>
        <w:r w:rsidRPr="00CE63A1">
          <w:rPr>
            <w:rFonts w:ascii="Aptos" w:hAnsi="Aptos" w:cs="Arial"/>
            <w:i/>
            <w:color w:val="467886" w:themeColor="hyperlink"/>
            <w:sz w:val="20"/>
            <w:szCs w:val="20"/>
          </w:rPr>
          <w:t>S</w:t>
        </w:r>
        <w:r w:rsidRPr="00CE63A1">
          <w:rPr>
            <w:rFonts w:ascii="Aptos" w:hAnsi="Aptos"/>
            <w:i/>
            <w:color w:val="467886" w:themeColor="hyperlink"/>
            <w:sz w:val="20"/>
            <w:szCs w:val="20"/>
          </w:rPr>
          <w:t>ubch</w:t>
        </w:r>
        <w:proofErr w:type="spellEnd"/>
        <w:r w:rsidRPr="00CE63A1">
          <w:rPr>
            <w:rFonts w:ascii="Aptos" w:hAnsi="Aptos"/>
            <w:i/>
            <w:color w:val="467886" w:themeColor="hyperlink"/>
            <w:sz w:val="20"/>
            <w:szCs w:val="20"/>
          </w:rPr>
          <w:t>. </w:t>
        </w:r>
        <w:r w:rsidRPr="00CE63A1">
          <w:rPr>
            <w:rFonts w:ascii="Aptos" w:hAnsi="Aptos" w:cs="Arial"/>
            <w:i/>
            <w:color w:val="467886" w:themeColor="hyperlink"/>
            <w:sz w:val="20"/>
            <w:szCs w:val="20"/>
          </w:rPr>
          <w:t>II of Ch. 111</w:t>
        </w:r>
      </w:hyperlink>
      <w:r w:rsidRPr="00CE63A1">
        <w:rPr>
          <w:rFonts w:cs="Arial"/>
          <w:color w:val="000000"/>
          <w:sz w:val="20"/>
          <w:szCs w:val="20"/>
        </w:rPr>
        <w:t> to the Wisconsin Department of Workforce Development.</w:t>
      </w:r>
    </w:p>
    <w:p w14:paraId="3BD9BA9C" w14:textId="77777777" w:rsidR="008E5F8A" w:rsidRPr="00CE63A1" w:rsidRDefault="008E5F8A" w:rsidP="008E5F8A">
      <w:pPr>
        <w:numPr>
          <w:ilvl w:val="0"/>
          <w:numId w:val="15"/>
        </w:numPr>
        <w:shd w:val="clear" w:color="auto" w:fill="FFFFFF"/>
        <w:tabs>
          <w:tab w:val="clear" w:pos="720"/>
          <w:tab w:val="num" w:pos="1170"/>
        </w:tabs>
        <w:spacing w:before="43" w:after="43" w:line="240" w:lineRule="auto"/>
        <w:ind w:left="1170" w:hanging="450"/>
        <w:contextualSpacing/>
        <w:rPr>
          <w:rFonts w:cs="Arial"/>
          <w:color w:val="000000"/>
          <w:sz w:val="20"/>
          <w:szCs w:val="20"/>
        </w:rPr>
      </w:pPr>
      <w:r w:rsidRPr="00CE63A1">
        <w:rPr>
          <w:rFonts w:cs="Arial"/>
          <w:color w:val="000000"/>
          <w:sz w:val="20"/>
          <w:szCs w:val="20"/>
        </w:rPr>
        <w:t>A violation by a prime contractor shall not impute to a subcontractor nor shall a violation by a subcontractor impute to a contractor.</w:t>
      </w:r>
    </w:p>
    <w:p w14:paraId="2AD8BC8E" w14:textId="77777777" w:rsidR="008E5F8A" w:rsidRPr="00CE63A1" w:rsidRDefault="008E5F8A" w:rsidP="008E5F8A">
      <w:pPr>
        <w:numPr>
          <w:ilvl w:val="0"/>
          <w:numId w:val="15"/>
        </w:numPr>
        <w:tabs>
          <w:tab w:val="clear" w:pos="720"/>
          <w:tab w:val="num" w:pos="1170"/>
        </w:tabs>
        <w:spacing w:after="0" w:line="276" w:lineRule="auto"/>
        <w:ind w:left="1170" w:hanging="450"/>
        <w:contextualSpacing/>
        <w:rPr>
          <w:sz w:val="20"/>
          <w:szCs w:val="20"/>
        </w:rPr>
      </w:pPr>
      <w:r w:rsidRPr="00CE63A1">
        <w:rPr>
          <w:sz w:val="20"/>
          <w:szCs w:val="20"/>
        </w:rPr>
        <w:t xml:space="preserve">The contractor shall under this contract, if it exceeds $10,000, submit an Affirmative Action Plan or a Request for Exemption from Submitting an Affirmative Action Plan and a Contractor’s Subcontractor List to the Department of Administration (DOA) Division of Enterprise Operations, P.O. Box 7867, Madison, WI 53707-7867 or via email at </w:t>
      </w:r>
      <w:hyperlink r:id="rId60" w:history="1">
        <w:r w:rsidRPr="00CE63A1">
          <w:rPr>
            <w:rFonts w:ascii="Aptos" w:hAnsi="Aptos"/>
            <w:i/>
            <w:color w:val="467886" w:themeColor="hyperlink"/>
            <w:sz w:val="20"/>
            <w:szCs w:val="20"/>
          </w:rPr>
          <w:t>DOADEOSBOPPrograms@wisconsin.gov</w:t>
        </w:r>
      </w:hyperlink>
      <w:r w:rsidRPr="00CE63A1">
        <w:rPr>
          <w:sz w:val="20"/>
          <w:szCs w:val="20"/>
        </w:rPr>
        <w:t xml:space="preserve"> within fifteen (15) working days after the execution of  their contract. Failure to comply with the conditions of this requirement may result in the declaration of contractor ineligibility, the termination of the contract, and/or the withholding of funds.</w:t>
      </w:r>
    </w:p>
    <w:p w14:paraId="57C64ACF" w14:textId="77777777" w:rsidR="008E5F8A" w:rsidRPr="00CE63A1" w:rsidRDefault="008E5F8A" w:rsidP="008E5F8A">
      <w:pPr>
        <w:ind w:left="1530"/>
        <w:rPr>
          <w:sz w:val="20"/>
          <w:szCs w:val="20"/>
        </w:rPr>
      </w:pPr>
      <w:r w:rsidRPr="00CE63A1">
        <w:rPr>
          <w:rFonts w:cs="Arial"/>
          <w:b/>
          <w:bCs/>
          <w:color w:val="000000"/>
          <w:sz w:val="20"/>
          <w:szCs w:val="20"/>
        </w:rPr>
        <w:t>Cross-reference: </w:t>
      </w:r>
      <w:r w:rsidRPr="00CE63A1">
        <w:rPr>
          <w:rFonts w:cs="Arial"/>
          <w:color w:val="000000"/>
          <w:sz w:val="20"/>
          <w:szCs w:val="20"/>
        </w:rPr>
        <w:t xml:space="preserve">See also </w:t>
      </w:r>
      <w:hyperlink r:id="rId61" w:tooltip="Admin. Code ch. Adm 50" w:history="1">
        <w:r w:rsidRPr="00CE63A1">
          <w:rPr>
            <w:rFonts w:ascii="Aptos" w:hAnsi="Aptos" w:cs="Arial"/>
            <w:i/>
            <w:color w:val="467886" w:themeColor="hyperlink"/>
            <w:sz w:val="20"/>
            <w:szCs w:val="20"/>
          </w:rPr>
          <w:t>C</w:t>
        </w:r>
        <w:r w:rsidRPr="00CE63A1">
          <w:rPr>
            <w:rFonts w:ascii="Aptos" w:hAnsi="Aptos"/>
            <w:i/>
            <w:color w:val="467886" w:themeColor="hyperlink"/>
            <w:sz w:val="20"/>
            <w:szCs w:val="20"/>
          </w:rPr>
          <w:t>h. </w:t>
        </w:r>
        <w:r w:rsidRPr="00CE63A1">
          <w:rPr>
            <w:rFonts w:ascii="Aptos" w:hAnsi="Aptos" w:cs="Arial"/>
            <w:i/>
            <w:color w:val="467886" w:themeColor="hyperlink"/>
            <w:sz w:val="20"/>
            <w:szCs w:val="20"/>
          </w:rPr>
          <w:t>Adm 50</w:t>
        </w:r>
        <w:r w:rsidRPr="00CE63A1">
          <w:rPr>
            <w:rFonts w:ascii="Aptos" w:hAnsi="Aptos"/>
            <w:i/>
            <w:color w:val="467886" w:themeColor="hyperlink"/>
            <w:sz w:val="20"/>
            <w:szCs w:val="20"/>
          </w:rPr>
          <w:t xml:space="preserve">, Wis. </w:t>
        </w:r>
        <w:r w:rsidRPr="00CE63A1">
          <w:rPr>
            <w:rFonts w:ascii="Aptos" w:hAnsi="Aptos" w:cs="Arial"/>
            <w:i/>
            <w:color w:val="467886" w:themeColor="hyperlink"/>
            <w:sz w:val="20"/>
            <w:szCs w:val="20"/>
          </w:rPr>
          <w:t>A</w:t>
        </w:r>
        <w:r w:rsidRPr="00CE63A1">
          <w:rPr>
            <w:rFonts w:ascii="Aptos" w:hAnsi="Aptos"/>
            <w:i/>
            <w:color w:val="467886" w:themeColor="hyperlink"/>
            <w:sz w:val="20"/>
            <w:szCs w:val="20"/>
          </w:rPr>
          <w:t xml:space="preserve">dm. </w:t>
        </w:r>
        <w:r w:rsidRPr="00CE63A1">
          <w:rPr>
            <w:rFonts w:ascii="Aptos" w:hAnsi="Aptos" w:cs="Arial"/>
            <w:i/>
            <w:color w:val="467886" w:themeColor="hyperlink"/>
            <w:sz w:val="20"/>
            <w:szCs w:val="20"/>
          </w:rPr>
          <w:t>C</w:t>
        </w:r>
        <w:r w:rsidRPr="00CE63A1">
          <w:rPr>
            <w:rFonts w:ascii="Aptos" w:hAnsi="Aptos"/>
            <w:i/>
            <w:color w:val="467886" w:themeColor="hyperlink"/>
            <w:sz w:val="20"/>
            <w:szCs w:val="20"/>
          </w:rPr>
          <w:t>ode</w:t>
        </w:r>
      </w:hyperlink>
      <w:r w:rsidRPr="00CE63A1">
        <w:rPr>
          <w:rFonts w:cs="Arial"/>
          <w:color w:val="000000"/>
          <w:sz w:val="20"/>
          <w:szCs w:val="20"/>
        </w:rPr>
        <w:t>. Cities, counties, and other local governmental entities are not “contracting agencies” under sub. (1). 68 Atty. Gen. 306.</w:t>
      </w:r>
    </w:p>
    <w:p w14:paraId="34E39668" w14:textId="77777777" w:rsidR="008E5F8A" w:rsidRPr="00CE63A1" w:rsidRDefault="008E5F8A" w:rsidP="008E5F8A">
      <w:pPr>
        <w:pStyle w:val="ListParagraph"/>
        <w:numPr>
          <w:ilvl w:val="1"/>
          <w:numId w:val="13"/>
        </w:numPr>
        <w:spacing w:after="0" w:line="240" w:lineRule="auto"/>
        <w:ind w:left="720"/>
        <w:rPr>
          <w:rFonts w:eastAsia="Times New Roman" w:cs="Times New Roman"/>
          <w:kern w:val="0"/>
          <w:sz w:val="20"/>
          <w:szCs w:val="20"/>
          <w14:ligatures w14:val="none"/>
        </w:rPr>
      </w:pPr>
      <w:r w:rsidRPr="00CE63A1">
        <w:rPr>
          <w:rFonts w:eastAsia="Times New Roman" w:cs="Times New Roman"/>
          <w:b/>
          <w:bCs/>
          <w:i/>
          <w:iCs/>
          <w:kern w:val="0"/>
          <w:sz w:val="20"/>
          <w:szCs w:val="20"/>
          <w14:ligatures w14:val="none"/>
        </w:rPr>
        <w:t>Subcontracts.</w:t>
      </w:r>
      <w:r w:rsidRPr="00CE63A1">
        <w:rPr>
          <w:rFonts w:eastAsia="Times New Roman" w:cs="Times New Roman"/>
          <w:kern w:val="0"/>
          <w:sz w:val="20"/>
          <w:szCs w:val="20"/>
          <w14:ligatures w14:val="none"/>
        </w:rPr>
        <w:t xml:space="preserve"> Each nonexempt prime contractor or subcontractor shall include the equal opportunity clause in each of its nonexempt subcontracts.</w:t>
      </w:r>
    </w:p>
    <w:p w14:paraId="15F934D5" w14:textId="5B0800E4" w:rsidR="008E5F8A" w:rsidRPr="00CE63A1" w:rsidRDefault="008E5F8A" w:rsidP="008E5F8A">
      <w:pPr>
        <w:pStyle w:val="ListParagraph"/>
        <w:numPr>
          <w:ilvl w:val="1"/>
          <w:numId w:val="13"/>
        </w:numPr>
        <w:spacing w:after="0" w:line="240" w:lineRule="auto"/>
        <w:ind w:left="720"/>
        <w:rPr>
          <w:rFonts w:eastAsia="Times New Roman" w:cs="Times New Roman"/>
          <w:kern w:val="0"/>
          <w:sz w:val="20"/>
          <w:szCs w:val="20"/>
          <w14:ligatures w14:val="none"/>
        </w:rPr>
      </w:pPr>
      <w:r w:rsidRPr="00CE63A1">
        <w:rPr>
          <w:rFonts w:eastAsia="Times New Roman" w:cs="Times New Roman"/>
          <w:b/>
          <w:bCs/>
          <w:i/>
          <w:iCs/>
          <w:kern w:val="0"/>
          <w:sz w:val="20"/>
          <w:szCs w:val="20"/>
          <w14:ligatures w14:val="none"/>
        </w:rPr>
        <w:t>Inclusion of the equal opportunity clause by reference.</w:t>
      </w:r>
      <w:r w:rsidRPr="00CE63A1">
        <w:rPr>
          <w:rFonts w:eastAsia="Times New Roman" w:cs="Times New Roman"/>
          <w:b/>
          <w:bCs/>
          <w:kern w:val="0"/>
          <w:sz w:val="20"/>
          <w:szCs w:val="20"/>
          <w14:ligatures w14:val="none"/>
        </w:rPr>
        <w:t xml:space="preserve"> </w:t>
      </w:r>
      <w:r w:rsidRPr="00CE63A1">
        <w:rPr>
          <w:rFonts w:eastAsia="Times New Roman" w:cs="Times New Roman"/>
          <w:i/>
          <w:iCs/>
          <w:kern w:val="0"/>
          <w:sz w:val="20"/>
          <w:szCs w:val="20"/>
          <w14:ligatures w14:val="none"/>
        </w:rPr>
        <w:t xml:space="preserve">[This is </w:t>
      </w:r>
      <w:r w:rsidRPr="00CE63A1">
        <w:rPr>
          <w:rFonts w:eastAsia="Times New Roman" w:cs="Times New Roman"/>
          <w:b/>
          <w:bCs/>
          <w:i/>
          <w:iCs/>
          <w:kern w:val="0"/>
          <w:sz w:val="20"/>
          <w:szCs w:val="20"/>
          <w14:ligatures w14:val="none"/>
        </w:rPr>
        <w:t xml:space="preserve">not </w:t>
      </w:r>
      <w:r w:rsidRPr="00CE63A1">
        <w:rPr>
          <w:rFonts w:eastAsia="Times New Roman" w:cs="Times New Roman"/>
          <w:i/>
          <w:iCs/>
          <w:kern w:val="0"/>
          <w:sz w:val="20"/>
          <w:szCs w:val="20"/>
          <w14:ligatures w14:val="none"/>
        </w:rPr>
        <w:t xml:space="preserve">a provision allowable for or applicable to </w:t>
      </w:r>
      <w:r w:rsidR="00F86DDF" w:rsidRPr="00CE63A1">
        <w:rPr>
          <w:rFonts w:ascii="Aptos" w:eastAsia="Times New Roman" w:hAnsi="Aptos" w:cs="Arial"/>
          <w:bCs/>
          <w:sz w:val="20"/>
          <w:szCs w:val="20"/>
        </w:rPr>
        <w:t>HTF</w:t>
      </w:r>
      <w:r w:rsidR="00F86DDF" w:rsidRPr="00CE63A1">
        <w:rPr>
          <w:sz w:val="18"/>
          <w:szCs w:val="18"/>
        </w:rPr>
        <w:t xml:space="preserve"> </w:t>
      </w:r>
      <w:r w:rsidRPr="00CE63A1">
        <w:rPr>
          <w:rFonts w:eastAsia="Times New Roman" w:cs="Times New Roman"/>
          <w:i/>
          <w:iCs/>
          <w:kern w:val="0"/>
          <w:sz w:val="20"/>
          <w:szCs w:val="20"/>
          <w14:ligatures w14:val="none"/>
        </w:rPr>
        <w:t>project construction contractors and subcontractors.]</w:t>
      </w:r>
    </w:p>
    <w:p w14:paraId="60163C01" w14:textId="77777777" w:rsidR="008E5F8A" w:rsidRPr="00CE63A1" w:rsidRDefault="008E5F8A" w:rsidP="008E5F8A">
      <w:pPr>
        <w:pStyle w:val="ListParagraph"/>
        <w:numPr>
          <w:ilvl w:val="1"/>
          <w:numId w:val="13"/>
        </w:numPr>
        <w:spacing w:after="0" w:line="240" w:lineRule="auto"/>
        <w:ind w:left="720"/>
        <w:rPr>
          <w:rFonts w:eastAsia="Times New Roman" w:cs="Times New Roman"/>
          <w:kern w:val="0"/>
          <w:sz w:val="20"/>
          <w:szCs w:val="20"/>
          <w14:ligatures w14:val="none"/>
        </w:rPr>
      </w:pPr>
      <w:r w:rsidRPr="00CE63A1">
        <w:rPr>
          <w:rFonts w:eastAsia="Times New Roman" w:cs="Times New Roman"/>
          <w:b/>
          <w:bCs/>
          <w:i/>
          <w:iCs/>
          <w:kern w:val="0"/>
          <w:sz w:val="20"/>
          <w:szCs w:val="20"/>
          <w14:ligatures w14:val="none"/>
        </w:rPr>
        <w:t>Incorporation by operation of the order.</w:t>
      </w:r>
      <w:r w:rsidRPr="00CE63A1">
        <w:rPr>
          <w:rFonts w:eastAsia="Times New Roman" w:cs="Times New Roman"/>
          <w:kern w:val="0"/>
          <w:sz w:val="20"/>
          <w:szCs w:val="20"/>
          <w14:ligatures w14:val="none"/>
        </w:rPr>
        <w:t xml:space="preserve"> By operation of the order, the equal opportunity clause shall be considered to be a part of every contract and subcontract required by the regulations in this part to include such a clause whether or not it is physically incorporated in such contracts and whether or not the contract between the agency and the contractor is written.</w:t>
      </w:r>
    </w:p>
    <w:p w14:paraId="4538B315" w14:textId="17242117" w:rsidR="008E5F8A" w:rsidRPr="00CE63A1" w:rsidRDefault="008E5F8A" w:rsidP="003E5525">
      <w:pPr>
        <w:pStyle w:val="ListParagraph"/>
        <w:numPr>
          <w:ilvl w:val="1"/>
          <w:numId w:val="13"/>
        </w:numPr>
        <w:spacing w:after="0" w:line="240" w:lineRule="auto"/>
        <w:ind w:left="720"/>
        <w:rPr>
          <w:rFonts w:eastAsia="Times New Roman" w:cs="Times New Roman"/>
          <w:kern w:val="0"/>
          <w:sz w:val="20"/>
          <w:szCs w:val="20"/>
          <w14:ligatures w14:val="none"/>
        </w:rPr>
      </w:pPr>
      <w:r w:rsidRPr="00CE63A1">
        <w:rPr>
          <w:rFonts w:eastAsia="Times New Roman" w:cs="Times New Roman"/>
          <w:b/>
          <w:bCs/>
          <w:i/>
          <w:iCs/>
          <w:kern w:val="0"/>
          <w:sz w:val="20"/>
          <w:szCs w:val="20"/>
          <w14:ligatures w14:val="none"/>
        </w:rPr>
        <w:t>Adaptation of language.</w:t>
      </w:r>
      <w:r w:rsidRPr="00CE63A1">
        <w:rPr>
          <w:rFonts w:eastAsia="Times New Roman" w:cs="Times New Roman"/>
          <w:kern w:val="0"/>
          <w:sz w:val="20"/>
          <w:szCs w:val="20"/>
          <w14:ligatures w14:val="none"/>
        </w:rPr>
        <w:t xml:space="preserve"> Such necessary changes in language may be made in the equal opportunity clause as shall be appropriate to identify properly the parties and their undertakings.</w:t>
      </w:r>
    </w:p>
    <w:sectPr w:rsidR="008E5F8A" w:rsidRPr="00CE63A1" w:rsidSect="00A30A4F">
      <w:headerReference w:type="default" r:id="rId62"/>
      <w:footerReference w:type="default" r:id="rId63"/>
      <w:pgSz w:w="12240" w:h="15840" w:code="1"/>
      <w:pgMar w:top="864" w:right="720" w:bottom="864" w:left="720" w:header="576" w:footer="57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A2D2F" w14:textId="77777777" w:rsidR="00602688" w:rsidRDefault="00602688" w:rsidP="00A30A4F">
      <w:pPr>
        <w:spacing w:after="0" w:line="240" w:lineRule="auto"/>
      </w:pPr>
      <w:r>
        <w:separator/>
      </w:r>
    </w:p>
  </w:endnote>
  <w:endnote w:type="continuationSeparator" w:id="0">
    <w:p w14:paraId="087243BA" w14:textId="77777777" w:rsidR="00602688" w:rsidRDefault="00602688" w:rsidP="00A30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72266391"/>
      <w:docPartObj>
        <w:docPartGallery w:val="Page Numbers (Bottom of Page)"/>
        <w:docPartUnique/>
      </w:docPartObj>
    </w:sdtPr>
    <w:sdtEndPr>
      <w:rPr>
        <w:rFonts w:ascii="Arial" w:hAnsi="Arial" w:cs="Arial"/>
        <w:i/>
        <w:iCs/>
        <w:sz w:val="18"/>
        <w:szCs w:val="18"/>
      </w:rPr>
    </w:sdtEndPr>
    <w:sdtContent>
      <w:sdt>
        <w:sdtPr>
          <w:rPr>
            <w:rFonts w:ascii="Arial" w:hAnsi="Arial" w:cs="Arial"/>
            <w:i/>
            <w:iCs/>
            <w:sz w:val="18"/>
            <w:szCs w:val="18"/>
          </w:rPr>
          <w:id w:val="1728636285"/>
          <w:docPartObj>
            <w:docPartGallery w:val="Page Numbers (Top of Page)"/>
            <w:docPartUnique/>
          </w:docPartObj>
        </w:sdtPr>
        <w:sdtEndPr/>
        <w:sdtContent>
          <w:p w14:paraId="42F5F067" w14:textId="4190E93A" w:rsidR="001774B5" w:rsidRPr="00CE63A1" w:rsidRDefault="001774B5" w:rsidP="001774B5">
            <w:pPr>
              <w:spacing w:after="0" w:line="240" w:lineRule="auto"/>
              <w:rPr>
                <w:i/>
                <w:iCs/>
                <w:color w:val="C00000"/>
                <w:sz w:val="18"/>
                <w:szCs w:val="18"/>
              </w:rPr>
            </w:pPr>
          </w:p>
          <w:p w14:paraId="7F3F054E" w14:textId="70146CD1" w:rsidR="001774B5" w:rsidRPr="00CE63A1" w:rsidRDefault="001774B5" w:rsidP="009E7C7A">
            <w:pPr>
              <w:pStyle w:val="Footer"/>
              <w:tabs>
                <w:tab w:val="clear" w:pos="4680"/>
                <w:tab w:val="clear" w:pos="9360"/>
                <w:tab w:val="left" w:pos="5400"/>
                <w:tab w:val="right" w:pos="10710"/>
              </w:tabs>
              <w:rPr>
                <w:rFonts w:ascii="Arial" w:hAnsi="Arial" w:cs="Arial"/>
                <w:i/>
                <w:iCs/>
                <w:sz w:val="18"/>
                <w:szCs w:val="18"/>
              </w:rPr>
            </w:pPr>
          </w:p>
          <w:p w14:paraId="4A0F5F94" w14:textId="07D1A379" w:rsidR="009C158F" w:rsidRPr="00CE63A1" w:rsidRDefault="00CF44E8" w:rsidP="009E7C7A">
            <w:pPr>
              <w:pStyle w:val="Footer"/>
              <w:tabs>
                <w:tab w:val="clear" w:pos="4680"/>
                <w:tab w:val="clear" w:pos="9360"/>
                <w:tab w:val="left" w:pos="5400"/>
                <w:tab w:val="right" w:pos="10710"/>
              </w:tabs>
              <w:rPr>
                <w:rFonts w:ascii="Arial" w:hAnsi="Arial" w:cs="Arial"/>
                <w:i/>
                <w:iCs/>
                <w:sz w:val="18"/>
                <w:szCs w:val="18"/>
              </w:rPr>
            </w:pPr>
            <w:r w:rsidRPr="00CE63A1">
              <w:rPr>
                <w:rFonts w:ascii="Arial" w:hAnsi="Arial" w:cs="Arial"/>
                <w:sz w:val="16"/>
                <w:szCs w:val="16"/>
              </w:rPr>
              <w:t>Equal Opportunity</w:t>
            </w:r>
            <w:r w:rsidR="00215BEC" w:rsidRPr="00CE63A1">
              <w:rPr>
                <w:rFonts w:ascii="Arial" w:hAnsi="Arial" w:cs="Arial"/>
                <w:sz w:val="16"/>
                <w:szCs w:val="16"/>
              </w:rPr>
              <w:t xml:space="preserve">/Non-Discrimination </w:t>
            </w:r>
            <w:r w:rsidR="008F58E4" w:rsidRPr="00CE63A1">
              <w:rPr>
                <w:rFonts w:ascii="Arial" w:hAnsi="Arial" w:cs="Arial"/>
                <w:sz w:val="16"/>
                <w:szCs w:val="16"/>
              </w:rPr>
              <w:t>C</w:t>
            </w:r>
            <w:r w:rsidR="004008D4" w:rsidRPr="00CE63A1">
              <w:rPr>
                <w:rFonts w:ascii="Arial" w:hAnsi="Arial" w:cs="Arial"/>
                <w:sz w:val="16"/>
                <w:szCs w:val="16"/>
              </w:rPr>
              <w:t xml:space="preserve">ontract </w:t>
            </w:r>
            <w:r w:rsidR="000F1B5F" w:rsidRPr="00CE63A1">
              <w:rPr>
                <w:rFonts w:ascii="Arial" w:hAnsi="Arial" w:cs="Arial"/>
                <w:sz w:val="16"/>
                <w:szCs w:val="16"/>
              </w:rPr>
              <w:t>Clause</w:t>
            </w:r>
            <w:r w:rsidR="00215BEC" w:rsidRPr="00CE63A1">
              <w:rPr>
                <w:rFonts w:ascii="Arial" w:hAnsi="Arial" w:cs="Arial"/>
                <w:sz w:val="16"/>
                <w:szCs w:val="16"/>
              </w:rPr>
              <w:t>s</w:t>
            </w:r>
            <w:r w:rsidR="00635353" w:rsidRPr="00CE63A1">
              <w:rPr>
                <w:rFonts w:ascii="Arial" w:hAnsi="Arial" w:cs="Arial"/>
                <w:sz w:val="16"/>
                <w:szCs w:val="16"/>
              </w:rPr>
              <w:t xml:space="preserve"> (6-</w:t>
            </w:r>
            <w:proofErr w:type="gramStart"/>
            <w:r w:rsidRPr="00CE63A1">
              <w:rPr>
                <w:rFonts w:ascii="Arial" w:hAnsi="Arial" w:cs="Arial"/>
                <w:sz w:val="16"/>
                <w:szCs w:val="16"/>
              </w:rPr>
              <w:t>A</w:t>
            </w:r>
            <w:r w:rsidR="00635353" w:rsidRPr="00CE63A1">
              <w:rPr>
                <w:rFonts w:ascii="Arial" w:hAnsi="Arial" w:cs="Arial"/>
                <w:sz w:val="16"/>
                <w:szCs w:val="16"/>
              </w:rPr>
              <w:t>)</w:t>
            </w:r>
            <w:r w:rsidR="00F82087" w:rsidRPr="00CE63A1">
              <w:rPr>
                <w:rFonts w:ascii="Arial" w:hAnsi="Arial" w:cs="Arial"/>
                <w:i/>
                <w:iCs/>
                <w:sz w:val="18"/>
                <w:szCs w:val="18"/>
              </w:rPr>
              <w:t xml:space="preserve">   </w:t>
            </w:r>
            <w:proofErr w:type="gramEnd"/>
            <w:r w:rsidR="00F82087" w:rsidRPr="00CE63A1">
              <w:rPr>
                <w:rFonts w:ascii="Arial" w:hAnsi="Arial" w:cs="Arial"/>
                <w:i/>
                <w:iCs/>
                <w:sz w:val="18"/>
                <w:szCs w:val="18"/>
              </w:rPr>
              <w:t xml:space="preserve"> </w:t>
            </w:r>
            <w:r w:rsidR="000F1B5F" w:rsidRPr="00CE63A1">
              <w:rPr>
                <w:rFonts w:ascii="Arial" w:hAnsi="Arial" w:cs="Arial"/>
                <w:i/>
                <w:iCs/>
                <w:sz w:val="18"/>
                <w:szCs w:val="18"/>
              </w:rPr>
              <w:t xml:space="preserve">   </w:t>
            </w:r>
            <w:r w:rsidR="00A30A4F" w:rsidRPr="00CE63A1">
              <w:rPr>
                <w:rFonts w:ascii="Arial" w:hAnsi="Arial" w:cs="Arial"/>
                <w:i/>
                <w:iCs/>
                <w:sz w:val="18"/>
                <w:szCs w:val="18"/>
              </w:rPr>
              <w:t xml:space="preserve"> </w:t>
            </w:r>
            <w:r w:rsidR="00A30A4F" w:rsidRPr="00CE63A1">
              <w:rPr>
                <w:rFonts w:ascii="Arial" w:hAnsi="Arial" w:cs="Arial"/>
                <w:sz w:val="20"/>
                <w:szCs w:val="20"/>
              </w:rPr>
              <w:t xml:space="preserve">Page </w:t>
            </w:r>
            <w:r w:rsidR="00A30A4F" w:rsidRPr="00CE63A1">
              <w:rPr>
                <w:rFonts w:ascii="Arial" w:hAnsi="Arial" w:cs="Arial"/>
                <w:sz w:val="20"/>
                <w:szCs w:val="20"/>
              </w:rPr>
              <w:fldChar w:fldCharType="begin"/>
            </w:r>
            <w:r w:rsidR="00A30A4F" w:rsidRPr="00CE63A1">
              <w:rPr>
                <w:rFonts w:ascii="Arial" w:hAnsi="Arial" w:cs="Arial"/>
                <w:sz w:val="20"/>
                <w:szCs w:val="20"/>
              </w:rPr>
              <w:instrText xml:space="preserve"> PAGE </w:instrText>
            </w:r>
            <w:r w:rsidR="00A30A4F" w:rsidRPr="00CE63A1">
              <w:rPr>
                <w:rFonts w:ascii="Arial" w:hAnsi="Arial" w:cs="Arial"/>
                <w:sz w:val="20"/>
                <w:szCs w:val="20"/>
              </w:rPr>
              <w:fldChar w:fldCharType="separate"/>
            </w:r>
            <w:r w:rsidR="00A30A4F" w:rsidRPr="00CE63A1">
              <w:rPr>
                <w:rFonts w:ascii="Arial" w:hAnsi="Arial" w:cs="Arial"/>
                <w:noProof/>
                <w:sz w:val="20"/>
                <w:szCs w:val="20"/>
              </w:rPr>
              <w:t>2</w:t>
            </w:r>
            <w:r w:rsidR="00A30A4F" w:rsidRPr="00CE63A1">
              <w:rPr>
                <w:rFonts w:ascii="Arial" w:hAnsi="Arial" w:cs="Arial"/>
                <w:sz w:val="20"/>
                <w:szCs w:val="20"/>
              </w:rPr>
              <w:fldChar w:fldCharType="end"/>
            </w:r>
            <w:r w:rsidR="00A30A4F" w:rsidRPr="00CE63A1">
              <w:rPr>
                <w:rFonts w:ascii="Arial" w:hAnsi="Arial" w:cs="Arial"/>
                <w:sz w:val="20"/>
                <w:szCs w:val="20"/>
              </w:rPr>
              <w:t xml:space="preserve"> of </w:t>
            </w:r>
            <w:r w:rsidR="00A30A4F" w:rsidRPr="00CE63A1">
              <w:rPr>
                <w:rFonts w:ascii="Arial" w:hAnsi="Arial" w:cs="Arial"/>
                <w:sz w:val="20"/>
                <w:szCs w:val="20"/>
              </w:rPr>
              <w:fldChar w:fldCharType="begin"/>
            </w:r>
            <w:r w:rsidR="00A30A4F" w:rsidRPr="00CE63A1">
              <w:rPr>
                <w:rFonts w:ascii="Arial" w:hAnsi="Arial" w:cs="Arial"/>
                <w:sz w:val="20"/>
                <w:szCs w:val="20"/>
              </w:rPr>
              <w:instrText xml:space="preserve"> NUMPAGES  </w:instrText>
            </w:r>
            <w:r w:rsidR="00A30A4F" w:rsidRPr="00CE63A1">
              <w:rPr>
                <w:rFonts w:ascii="Arial" w:hAnsi="Arial" w:cs="Arial"/>
                <w:sz w:val="20"/>
                <w:szCs w:val="20"/>
              </w:rPr>
              <w:fldChar w:fldCharType="separate"/>
            </w:r>
            <w:r w:rsidR="00A30A4F" w:rsidRPr="00CE63A1">
              <w:rPr>
                <w:rFonts w:ascii="Arial" w:hAnsi="Arial" w:cs="Arial"/>
                <w:noProof/>
                <w:sz w:val="20"/>
                <w:szCs w:val="20"/>
              </w:rPr>
              <w:t>2</w:t>
            </w:r>
            <w:r w:rsidR="00A30A4F" w:rsidRPr="00CE63A1">
              <w:rPr>
                <w:rFonts w:ascii="Arial" w:hAnsi="Arial" w:cs="Arial"/>
                <w:sz w:val="20"/>
                <w:szCs w:val="20"/>
              </w:rPr>
              <w:fldChar w:fldCharType="end"/>
            </w:r>
            <w:r w:rsidR="000F1B5F" w:rsidRPr="00CE63A1">
              <w:rPr>
                <w:rFonts w:ascii="Arial" w:hAnsi="Arial" w:cs="Arial"/>
                <w:i/>
                <w:iCs/>
                <w:sz w:val="18"/>
                <w:szCs w:val="18"/>
              </w:rPr>
              <w:tab/>
            </w:r>
          </w:p>
          <w:p w14:paraId="1FE8A87E" w14:textId="32BF181E" w:rsidR="00A30A4F" w:rsidRPr="000F1B5F" w:rsidRDefault="00F86DDF" w:rsidP="009E7C7A">
            <w:pPr>
              <w:pStyle w:val="Footer"/>
              <w:tabs>
                <w:tab w:val="clear" w:pos="4680"/>
                <w:tab w:val="clear" w:pos="9360"/>
                <w:tab w:val="left" w:pos="5400"/>
                <w:tab w:val="right" w:pos="10710"/>
              </w:tabs>
              <w:rPr>
                <w:rFonts w:ascii="Arial" w:hAnsi="Arial" w:cs="Arial"/>
                <w:i/>
                <w:iCs/>
                <w:sz w:val="18"/>
                <w:szCs w:val="18"/>
              </w:rPr>
            </w:pPr>
            <w:r w:rsidRPr="00CE63A1">
              <w:rPr>
                <w:rFonts w:ascii="Arial" w:hAnsi="Arial" w:cs="Arial"/>
                <w:sz w:val="16"/>
                <w:szCs w:val="16"/>
              </w:rPr>
              <w:t>HTF</w:t>
            </w:r>
            <w:r w:rsidR="009C158F" w:rsidRPr="00CE63A1">
              <w:rPr>
                <w:rFonts w:ascii="Arial" w:hAnsi="Arial" w:cs="Arial"/>
                <w:sz w:val="16"/>
                <w:szCs w:val="16"/>
              </w:rPr>
              <w:t>_</w:t>
            </w:r>
            <w:r w:rsidR="00A30A4F" w:rsidRPr="00CE63A1">
              <w:rPr>
                <w:rFonts w:ascii="Arial" w:hAnsi="Arial" w:cs="Arial"/>
                <w:sz w:val="16"/>
                <w:szCs w:val="16"/>
              </w:rPr>
              <w:t>Attach06-</w:t>
            </w:r>
            <w:r w:rsidR="00CF44E8" w:rsidRPr="00CE63A1">
              <w:rPr>
                <w:rFonts w:ascii="Arial" w:hAnsi="Arial" w:cs="Arial"/>
                <w:sz w:val="16"/>
                <w:szCs w:val="16"/>
              </w:rPr>
              <w:t>A</w:t>
            </w:r>
            <w:r w:rsidR="009C158F" w:rsidRPr="00CE63A1">
              <w:rPr>
                <w:rFonts w:ascii="Arial" w:hAnsi="Arial" w:cs="Arial"/>
                <w:sz w:val="16"/>
                <w:szCs w:val="16"/>
              </w:rPr>
              <w:t>_</w:t>
            </w:r>
            <w:r w:rsidR="00A30A4F" w:rsidRPr="00CE63A1">
              <w:rPr>
                <w:rFonts w:ascii="Arial" w:hAnsi="Arial" w:cs="Arial"/>
                <w:sz w:val="16"/>
                <w:szCs w:val="16"/>
              </w:rPr>
              <w:t>v20</w:t>
            </w:r>
            <w:r w:rsidR="009E7C7A" w:rsidRPr="00CE63A1">
              <w:rPr>
                <w:rFonts w:ascii="Arial" w:hAnsi="Arial" w:cs="Arial"/>
                <w:sz w:val="16"/>
                <w:szCs w:val="16"/>
              </w:rPr>
              <w:t>2</w:t>
            </w:r>
            <w:r w:rsidR="009C158F" w:rsidRPr="00CE63A1">
              <w:rPr>
                <w:rFonts w:ascii="Arial" w:hAnsi="Arial" w:cs="Arial"/>
                <w:sz w:val="16"/>
                <w:szCs w:val="16"/>
              </w:rPr>
              <w:t>6</w:t>
            </w:r>
            <w:r w:rsidR="00A30A4F" w:rsidRPr="00CE63A1">
              <w:rPr>
                <w:rFonts w:ascii="Arial" w:hAnsi="Arial" w:cs="Arial"/>
                <w:sz w:val="16"/>
                <w:szCs w:val="16"/>
              </w:rPr>
              <w:t>-</w:t>
            </w:r>
            <w:r w:rsidR="009C158F" w:rsidRPr="00CE63A1">
              <w:rPr>
                <w:rFonts w:ascii="Arial" w:hAnsi="Arial" w:cs="Arial"/>
                <w:sz w:val="16"/>
                <w:szCs w:val="16"/>
              </w:rPr>
              <w:t>06</w:t>
            </w:r>
            <w:r w:rsidR="00A30A4F" w:rsidRPr="00CE63A1">
              <w:rPr>
                <w:rFonts w:ascii="Arial" w:hAnsi="Arial" w:cs="Arial"/>
                <w:sz w:val="16"/>
                <w:szCs w:val="16"/>
              </w:rPr>
              <w:t>-</w:t>
            </w:r>
            <w:r w:rsidR="009C158F" w:rsidRPr="00CE63A1">
              <w:rPr>
                <w:rFonts w:ascii="Arial" w:hAnsi="Arial" w:cs="Arial"/>
                <w:sz w:val="16"/>
                <w:szCs w:val="16"/>
              </w:rPr>
              <w:t>30</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261454329"/>
      <w:docPartObj>
        <w:docPartGallery w:val="Page Numbers (Bottom of Page)"/>
        <w:docPartUnique/>
      </w:docPartObj>
    </w:sdtPr>
    <w:sdtEndPr>
      <w:rPr>
        <w:rFonts w:ascii="Arial" w:hAnsi="Arial" w:cs="Arial"/>
        <w:i/>
        <w:iCs/>
        <w:sz w:val="18"/>
        <w:szCs w:val="18"/>
      </w:rPr>
    </w:sdtEndPr>
    <w:sdtContent>
      <w:sdt>
        <w:sdtPr>
          <w:rPr>
            <w:rFonts w:ascii="Arial" w:hAnsi="Arial" w:cs="Arial"/>
            <w:i/>
            <w:iCs/>
            <w:sz w:val="18"/>
            <w:szCs w:val="18"/>
          </w:rPr>
          <w:id w:val="-943299557"/>
          <w:docPartObj>
            <w:docPartGallery w:val="Page Numbers (Top of Page)"/>
            <w:docPartUnique/>
          </w:docPartObj>
        </w:sdtPr>
        <w:sdtEndPr/>
        <w:sdtContent>
          <w:p w14:paraId="5F6869EB" w14:textId="77777777" w:rsidR="00215BEC" w:rsidRPr="008401F1" w:rsidRDefault="00215BEC" w:rsidP="001774B5">
            <w:pPr>
              <w:spacing w:after="0" w:line="240" w:lineRule="auto"/>
              <w:rPr>
                <w:i/>
                <w:iCs/>
                <w:color w:val="C00000"/>
                <w:sz w:val="18"/>
                <w:szCs w:val="18"/>
              </w:rPr>
            </w:pPr>
          </w:p>
          <w:p w14:paraId="43B4334A" w14:textId="77777777" w:rsidR="00215BEC" w:rsidRDefault="00215BEC" w:rsidP="009E7C7A">
            <w:pPr>
              <w:pStyle w:val="Footer"/>
              <w:tabs>
                <w:tab w:val="clear" w:pos="4680"/>
                <w:tab w:val="clear" w:pos="9360"/>
                <w:tab w:val="left" w:pos="5400"/>
                <w:tab w:val="right" w:pos="10710"/>
              </w:tabs>
              <w:rPr>
                <w:rFonts w:ascii="Arial" w:hAnsi="Arial" w:cs="Arial"/>
                <w:i/>
                <w:iCs/>
                <w:sz w:val="18"/>
                <w:szCs w:val="18"/>
              </w:rPr>
            </w:pPr>
          </w:p>
          <w:p w14:paraId="73206C54" w14:textId="77777777" w:rsidR="00215BEC" w:rsidRDefault="00215BEC" w:rsidP="009E7C7A">
            <w:pPr>
              <w:pStyle w:val="Footer"/>
              <w:tabs>
                <w:tab w:val="clear" w:pos="4680"/>
                <w:tab w:val="clear" w:pos="9360"/>
                <w:tab w:val="left" w:pos="5400"/>
                <w:tab w:val="right" w:pos="10710"/>
              </w:tabs>
              <w:rPr>
                <w:rFonts w:ascii="Arial" w:hAnsi="Arial" w:cs="Arial"/>
                <w:i/>
                <w:iCs/>
                <w:sz w:val="18"/>
                <w:szCs w:val="18"/>
              </w:rPr>
            </w:pPr>
            <w:r w:rsidRPr="009C158F">
              <w:rPr>
                <w:rFonts w:ascii="Arial" w:hAnsi="Arial" w:cs="Arial"/>
                <w:sz w:val="16"/>
                <w:szCs w:val="16"/>
              </w:rPr>
              <w:t>Equal Opportunity</w:t>
            </w:r>
            <w:r>
              <w:rPr>
                <w:rFonts w:ascii="Arial" w:hAnsi="Arial" w:cs="Arial"/>
                <w:sz w:val="16"/>
                <w:szCs w:val="16"/>
              </w:rPr>
              <w:t xml:space="preserve">/Non-Discrimination &amp; Section 3 </w:t>
            </w:r>
            <w:r w:rsidRPr="009C158F">
              <w:rPr>
                <w:rFonts w:ascii="Arial" w:hAnsi="Arial" w:cs="Arial"/>
                <w:sz w:val="16"/>
                <w:szCs w:val="16"/>
              </w:rPr>
              <w:t>Clause</w:t>
            </w:r>
            <w:r>
              <w:rPr>
                <w:rFonts w:ascii="Arial" w:hAnsi="Arial" w:cs="Arial"/>
                <w:sz w:val="16"/>
                <w:szCs w:val="16"/>
              </w:rPr>
              <w:t>s</w:t>
            </w:r>
            <w:r w:rsidRPr="009C158F">
              <w:rPr>
                <w:rFonts w:ascii="Arial" w:hAnsi="Arial" w:cs="Arial"/>
                <w:sz w:val="16"/>
                <w:szCs w:val="16"/>
              </w:rPr>
              <w:t xml:space="preserve"> (6-</w:t>
            </w:r>
            <w:proofErr w:type="gramStart"/>
            <w:r w:rsidRPr="009C158F">
              <w:rPr>
                <w:rFonts w:ascii="Arial" w:hAnsi="Arial" w:cs="Arial"/>
                <w:sz w:val="16"/>
                <w:szCs w:val="16"/>
              </w:rPr>
              <w:t>A)</w:t>
            </w:r>
            <w:r>
              <w:rPr>
                <w:rFonts w:ascii="Arial" w:hAnsi="Arial" w:cs="Arial"/>
                <w:i/>
                <w:iCs/>
                <w:sz w:val="18"/>
                <w:szCs w:val="18"/>
              </w:rPr>
              <w:t xml:space="preserve">   </w:t>
            </w:r>
            <w:proofErr w:type="gramEnd"/>
            <w:r>
              <w:rPr>
                <w:rFonts w:ascii="Arial" w:hAnsi="Arial" w:cs="Arial"/>
                <w:i/>
                <w:iCs/>
                <w:sz w:val="18"/>
                <w:szCs w:val="18"/>
              </w:rPr>
              <w:t xml:space="preserve">    </w:t>
            </w:r>
            <w:r w:rsidRPr="000F1B5F">
              <w:rPr>
                <w:rFonts w:ascii="Arial" w:hAnsi="Arial" w:cs="Arial"/>
                <w:i/>
                <w:iCs/>
                <w:sz w:val="18"/>
                <w:szCs w:val="18"/>
              </w:rPr>
              <w:t xml:space="preserve"> </w:t>
            </w:r>
            <w:r w:rsidRPr="000F1B5F">
              <w:rPr>
                <w:rFonts w:ascii="Arial" w:hAnsi="Arial" w:cs="Arial"/>
                <w:sz w:val="20"/>
                <w:szCs w:val="20"/>
              </w:rPr>
              <w:t xml:space="preserve">Page </w:t>
            </w:r>
            <w:r w:rsidRPr="000F1B5F">
              <w:rPr>
                <w:rFonts w:ascii="Arial" w:hAnsi="Arial" w:cs="Arial"/>
                <w:sz w:val="20"/>
                <w:szCs w:val="20"/>
              </w:rPr>
              <w:fldChar w:fldCharType="begin"/>
            </w:r>
            <w:r w:rsidRPr="000F1B5F">
              <w:rPr>
                <w:rFonts w:ascii="Arial" w:hAnsi="Arial" w:cs="Arial"/>
                <w:sz w:val="20"/>
                <w:szCs w:val="20"/>
              </w:rPr>
              <w:instrText xml:space="preserve"> PAGE </w:instrText>
            </w:r>
            <w:r w:rsidRPr="000F1B5F">
              <w:rPr>
                <w:rFonts w:ascii="Arial" w:hAnsi="Arial" w:cs="Arial"/>
                <w:sz w:val="20"/>
                <w:szCs w:val="20"/>
              </w:rPr>
              <w:fldChar w:fldCharType="separate"/>
            </w:r>
            <w:r w:rsidRPr="000F1B5F">
              <w:rPr>
                <w:rFonts w:ascii="Arial" w:hAnsi="Arial" w:cs="Arial"/>
                <w:noProof/>
                <w:sz w:val="20"/>
                <w:szCs w:val="20"/>
              </w:rPr>
              <w:t>2</w:t>
            </w:r>
            <w:r w:rsidRPr="000F1B5F">
              <w:rPr>
                <w:rFonts w:ascii="Arial" w:hAnsi="Arial" w:cs="Arial"/>
                <w:sz w:val="20"/>
                <w:szCs w:val="20"/>
              </w:rPr>
              <w:fldChar w:fldCharType="end"/>
            </w:r>
            <w:r w:rsidRPr="000F1B5F">
              <w:rPr>
                <w:rFonts w:ascii="Arial" w:hAnsi="Arial" w:cs="Arial"/>
                <w:sz w:val="20"/>
                <w:szCs w:val="20"/>
              </w:rPr>
              <w:t xml:space="preserve"> of </w:t>
            </w:r>
            <w:r w:rsidRPr="000F1B5F">
              <w:rPr>
                <w:rFonts w:ascii="Arial" w:hAnsi="Arial" w:cs="Arial"/>
                <w:sz w:val="20"/>
                <w:szCs w:val="20"/>
              </w:rPr>
              <w:fldChar w:fldCharType="begin"/>
            </w:r>
            <w:r w:rsidRPr="000F1B5F">
              <w:rPr>
                <w:rFonts w:ascii="Arial" w:hAnsi="Arial" w:cs="Arial"/>
                <w:sz w:val="20"/>
                <w:szCs w:val="20"/>
              </w:rPr>
              <w:instrText xml:space="preserve"> NUMPAGES  </w:instrText>
            </w:r>
            <w:r w:rsidRPr="000F1B5F">
              <w:rPr>
                <w:rFonts w:ascii="Arial" w:hAnsi="Arial" w:cs="Arial"/>
                <w:sz w:val="20"/>
                <w:szCs w:val="20"/>
              </w:rPr>
              <w:fldChar w:fldCharType="separate"/>
            </w:r>
            <w:r w:rsidRPr="000F1B5F">
              <w:rPr>
                <w:rFonts w:ascii="Arial" w:hAnsi="Arial" w:cs="Arial"/>
                <w:noProof/>
                <w:sz w:val="20"/>
                <w:szCs w:val="20"/>
              </w:rPr>
              <w:t>2</w:t>
            </w:r>
            <w:r w:rsidRPr="000F1B5F">
              <w:rPr>
                <w:rFonts w:ascii="Arial" w:hAnsi="Arial" w:cs="Arial"/>
                <w:sz w:val="20"/>
                <w:szCs w:val="20"/>
              </w:rPr>
              <w:fldChar w:fldCharType="end"/>
            </w:r>
            <w:r>
              <w:rPr>
                <w:rFonts w:ascii="Arial" w:hAnsi="Arial" w:cs="Arial"/>
                <w:i/>
                <w:iCs/>
                <w:sz w:val="18"/>
                <w:szCs w:val="18"/>
              </w:rPr>
              <w:tab/>
            </w:r>
          </w:p>
          <w:p w14:paraId="3DE8D989" w14:textId="2EE20AAF" w:rsidR="00215BEC" w:rsidRPr="000F1B5F" w:rsidRDefault="00F86DDF" w:rsidP="009E7C7A">
            <w:pPr>
              <w:pStyle w:val="Footer"/>
              <w:tabs>
                <w:tab w:val="clear" w:pos="4680"/>
                <w:tab w:val="clear" w:pos="9360"/>
                <w:tab w:val="left" w:pos="5400"/>
                <w:tab w:val="right" w:pos="10710"/>
              </w:tabs>
              <w:rPr>
                <w:rFonts w:ascii="Arial" w:hAnsi="Arial" w:cs="Arial"/>
                <w:i/>
                <w:iCs/>
                <w:sz w:val="18"/>
                <w:szCs w:val="18"/>
              </w:rPr>
            </w:pPr>
            <w:r w:rsidRPr="00CE63A1">
              <w:rPr>
                <w:rFonts w:ascii="Arial" w:hAnsi="Arial" w:cs="Arial"/>
                <w:sz w:val="16"/>
                <w:szCs w:val="16"/>
              </w:rPr>
              <w:t>HTF</w:t>
            </w:r>
            <w:r w:rsidR="00215BEC" w:rsidRPr="00CE63A1">
              <w:rPr>
                <w:rFonts w:ascii="Arial" w:hAnsi="Arial" w:cs="Arial"/>
                <w:sz w:val="16"/>
                <w:szCs w:val="16"/>
              </w:rPr>
              <w:t>_Attach06-A_v2026-06-30</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80731450"/>
      <w:docPartObj>
        <w:docPartGallery w:val="Page Numbers (Bottom of Page)"/>
        <w:docPartUnique/>
      </w:docPartObj>
    </w:sdtPr>
    <w:sdtEndPr>
      <w:rPr>
        <w:rFonts w:ascii="Arial" w:hAnsi="Arial" w:cs="Arial"/>
        <w:i/>
        <w:iCs/>
        <w:sz w:val="18"/>
        <w:szCs w:val="18"/>
      </w:rPr>
    </w:sdtEndPr>
    <w:sdtContent>
      <w:sdt>
        <w:sdtPr>
          <w:rPr>
            <w:rFonts w:ascii="Arial" w:hAnsi="Arial" w:cs="Arial"/>
            <w:i/>
            <w:iCs/>
            <w:sz w:val="18"/>
            <w:szCs w:val="18"/>
          </w:rPr>
          <w:id w:val="832722029"/>
          <w:docPartObj>
            <w:docPartGallery w:val="Page Numbers (Top of Page)"/>
            <w:docPartUnique/>
          </w:docPartObj>
        </w:sdtPr>
        <w:sdtEndPr/>
        <w:sdtContent>
          <w:p w14:paraId="1D0C3665" w14:textId="77777777" w:rsidR="004008D4" w:rsidRPr="008401F1" w:rsidRDefault="004008D4" w:rsidP="001774B5">
            <w:pPr>
              <w:spacing w:after="0" w:line="240" w:lineRule="auto"/>
              <w:rPr>
                <w:i/>
                <w:iCs/>
                <w:color w:val="C00000"/>
                <w:sz w:val="18"/>
                <w:szCs w:val="18"/>
              </w:rPr>
            </w:pPr>
          </w:p>
          <w:p w14:paraId="788F81F3" w14:textId="77777777" w:rsidR="004008D4" w:rsidRDefault="004008D4" w:rsidP="009E7C7A">
            <w:pPr>
              <w:pStyle w:val="Footer"/>
              <w:tabs>
                <w:tab w:val="clear" w:pos="4680"/>
                <w:tab w:val="clear" w:pos="9360"/>
                <w:tab w:val="left" w:pos="5400"/>
                <w:tab w:val="right" w:pos="10710"/>
              </w:tabs>
              <w:rPr>
                <w:rFonts w:ascii="Arial" w:hAnsi="Arial" w:cs="Arial"/>
                <w:i/>
                <w:iCs/>
                <w:sz w:val="18"/>
                <w:szCs w:val="18"/>
              </w:rPr>
            </w:pPr>
          </w:p>
          <w:p w14:paraId="34794F7F" w14:textId="1DE33E91" w:rsidR="004008D4" w:rsidRDefault="004008D4" w:rsidP="009E7C7A">
            <w:pPr>
              <w:pStyle w:val="Footer"/>
              <w:tabs>
                <w:tab w:val="clear" w:pos="4680"/>
                <w:tab w:val="clear" w:pos="9360"/>
                <w:tab w:val="left" w:pos="5400"/>
                <w:tab w:val="right" w:pos="10710"/>
              </w:tabs>
              <w:rPr>
                <w:rFonts w:ascii="Arial" w:hAnsi="Arial" w:cs="Arial"/>
                <w:i/>
                <w:iCs/>
                <w:sz w:val="18"/>
                <w:szCs w:val="18"/>
              </w:rPr>
            </w:pPr>
            <w:r w:rsidRPr="009C158F">
              <w:rPr>
                <w:rFonts w:ascii="Arial" w:hAnsi="Arial" w:cs="Arial"/>
                <w:sz w:val="16"/>
                <w:szCs w:val="16"/>
              </w:rPr>
              <w:t>Equal Opportunity</w:t>
            </w:r>
            <w:r>
              <w:rPr>
                <w:rFonts w:ascii="Arial" w:hAnsi="Arial" w:cs="Arial"/>
                <w:sz w:val="16"/>
                <w:szCs w:val="16"/>
              </w:rPr>
              <w:t xml:space="preserve">/Non-Discrimination Contract </w:t>
            </w:r>
            <w:r w:rsidRPr="009C158F">
              <w:rPr>
                <w:rFonts w:ascii="Arial" w:hAnsi="Arial" w:cs="Arial"/>
                <w:sz w:val="16"/>
                <w:szCs w:val="16"/>
              </w:rPr>
              <w:t>Clause</w:t>
            </w:r>
            <w:r>
              <w:rPr>
                <w:rFonts w:ascii="Arial" w:hAnsi="Arial" w:cs="Arial"/>
                <w:sz w:val="16"/>
                <w:szCs w:val="16"/>
              </w:rPr>
              <w:t>s</w:t>
            </w:r>
            <w:r w:rsidRPr="009C158F">
              <w:rPr>
                <w:rFonts w:ascii="Arial" w:hAnsi="Arial" w:cs="Arial"/>
                <w:sz w:val="16"/>
                <w:szCs w:val="16"/>
              </w:rPr>
              <w:t xml:space="preserve"> (6-</w:t>
            </w:r>
            <w:proofErr w:type="gramStart"/>
            <w:r w:rsidRPr="009C158F">
              <w:rPr>
                <w:rFonts w:ascii="Arial" w:hAnsi="Arial" w:cs="Arial"/>
                <w:sz w:val="16"/>
                <w:szCs w:val="16"/>
              </w:rPr>
              <w:t>A)</w:t>
            </w:r>
            <w:r>
              <w:rPr>
                <w:rFonts w:ascii="Arial" w:hAnsi="Arial" w:cs="Arial"/>
                <w:i/>
                <w:iCs/>
                <w:sz w:val="18"/>
                <w:szCs w:val="18"/>
              </w:rPr>
              <w:t xml:space="preserve">   </w:t>
            </w:r>
            <w:proofErr w:type="gramEnd"/>
            <w:r>
              <w:rPr>
                <w:rFonts w:ascii="Arial" w:hAnsi="Arial" w:cs="Arial"/>
                <w:i/>
                <w:iCs/>
                <w:sz w:val="18"/>
                <w:szCs w:val="18"/>
              </w:rPr>
              <w:t xml:space="preserve">    </w:t>
            </w:r>
            <w:r w:rsidRPr="000F1B5F">
              <w:rPr>
                <w:rFonts w:ascii="Arial" w:hAnsi="Arial" w:cs="Arial"/>
                <w:i/>
                <w:iCs/>
                <w:sz w:val="18"/>
                <w:szCs w:val="18"/>
              </w:rPr>
              <w:t xml:space="preserve"> </w:t>
            </w:r>
            <w:r w:rsidRPr="000F1B5F">
              <w:rPr>
                <w:rFonts w:ascii="Arial" w:hAnsi="Arial" w:cs="Arial"/>
                <w:sz w:val="20"/>
                <w:szCs w:val="20"/>
              </w:rPr>
              <w:t xml:space="preserve">Page </w:t>
            </w:r>
            <w:r w:rsidRPr="000F1B5F">
              <w:rPr>
                <w:rFonts w:ascii="Arial" w:hAnsi="Arial" w:cs="Arial"/>
                <w:sz w:val="20"/>
                <w:szCs w:val="20"/>
              </w:rPr>
              <w:fldChar w:fldCharType="begin"/>
            </w:r>
            <w:r w:rsidRPr="000F1B5F">
              <w:rPr>
                <w:rFonts w:ascii="Arial" w:hAnsi="Arial" w:cs="Arial"/>
                <w:sz w:val="20"/>
                <w:szCs w:val="20"/>
              </w:rPr>
              <w:instrText xml:space="preserve"> PAGE </w:instrText>
            </w:r>
            <w:r w:rsidRPr="000F1B5F">
              <w:rPr>
                <w:rFonts w:ascii="Arial" w:hAnsi="Arial" w:cs="Arial"/>
                <w:sz w:val="20"/>
                <w:szCs w:val="20"/>
              </w:rPr>
              <w:fldChar w:fldCharType="separate"/>
            </w:r>
            <w:r w:rsidRPr="000F1B5F">
              <w:rPr>
                <w:rFonts w:ascii="Arial" w:hAnsi="Arial" w:cs="Arial"/>
                <w:noProof/>
                <w:sz w:val="20"/>
                <w:szCs w:val="20"/>
              </w:rPr>
              <w:t>2</w:t>
            </w:r>
            <w:r w:rsidRPr="000F1B5F">
              <w:rPr>
                <w:rFonts w:ascii="Arial" w:hAnsi="Arial" w:cs="Arial"/>
                <w:sz w:val="20"/>
                <w:szCs w:val="20"/>
              </w:rPr>
              <w:fldChar w:fldCharType="end"/>
            </w:r>
            <w:r w:rsidRPr="000F1B5F">
              <w:rPr>
                <w:rFonts w:ascii="Arial" w:hAnsi="Arial" w:cs="Arial"/>
                <w:sz w:val="20"/>
                <w:szCs w:val="20"/>
              </w:rPr>
              <w:t xml:space="preserve"> of </w:t>
            </w:r>
            <w:r w:rsidRPr="000F1B5F">
              <w:rPr>
                <w:rFonts w:ascii="Arial" w:hAnsi="Arial" w:cs="Arial"/>
                <w:sz w:val="20"/>
                <w:szCs w:val="20"/>
              </w:rPr>
              <w:fldChar w:fldCharType="begin"/>
            </w:r>
            <w:r w:rsidRPr="000F1B5F">
              <w:rPr>
                <w:rFonts w:ascii="Arial" w:hAnsi="Arial" w:cs="Arial"/>
                <w:sz w:val="20"/>
                <w:szCs w:val="20"/>
              </w:rPr>
              <w:instrText xml:space="preserve"> NUMPAGES  </w:instrText>
            </w:r>
            <w:r w:rsidRPr="000F1B5F">
              <w:rPr>
                <w:rFonts w:ascii="Arial" w:hAnsi="Arial" w:cs="Arial"/>
                <w:sz w:val="20"/>
                <w:szCs w:val="20"/>
              </w:rPr>
              <w:fldChar w:fldCharType="separate"/>
            </w:r>
            <w:r w:rsidRPr="000F1B5F">
              <w:rPr>
                <w:rFonts w:ascii="Arial" w:hAnsi="Arial" w:cs="Arial"/>
                <w:noProof/>
                <w:sz w:val="20"/>
                <w:szCs w:val="20"/>
              </w:rPr>
              <w:t>2</w:t>
            </w:r>
            <w:r w:rsidRPr="000F1B5F">
              <w:rPr>
                <w:rFonts w:ascii="Arial" w:hAnsi="Arial" w:cs="Arial"/>
                <w:sz w:val="20"/>
                <w:szCs w:val="20"/>
              </w:rPr>
              <w:fldChar w:fldCharType="end"/>
            </w:r>
            <w:r>
              <w:rPr>
                <w:rFonts w:ascii="Arial" w:hAnsi="Arial" w:cs="Arial"/>
                <w:i/>
                <w:iCs/>
                <w:sz w:val="18"/>
                <w:szCs w:val="18"/>
              </w:rPr>
              <w:tab/>
            </w:r>
          </w:p>
          <w:p w14:paraId="2CEB9DAB" w14:textId="39D757C1" w:rsidR="004008D4" w:rsidRPr="000F1B5F" w:rsidRDefault="00F86DDF" w:rsidP="009E7C7A">
            <w:pPr>
              <w:pStyle w:val="Footer"/>
              <w:tabs>
                <w:tab w:val="clear" w:pos="4680"/>
                <w:tab w:val="clear" w:pos="9360"/>
                <w:tab w:val="left" w:pos="5400"/>
                <w:tab w:val="right" w:pos="10710"/>
              </w:tabs>
              <w:rPr>
                <w:rFonts w:ascii="Arial" w:hAnsi="Arial" w:cs="Arial"/>
                <w:i/>
                <w:iCs/>
                <w:sz w:val="18"/>
                <w:szCs w:val="18"/>
              </w:rPr>
            </w:pPr>
            <w:r w:rsidRPr="00CE63A1">
              <w:rPr>
                <w:rFonts w:ascii="Arial" w:hAnsi="Arial" w:cs="Arial"/>
                <w:sz w:val="16"/>
                <w:szCs w:val="16"/>
              </w:rPr>
              <w:t>HTF</w:t>
            </w:r>
            <w:r w:rsidR="004008D4" w:rsidRPr="00CE63A1">
              <w:rPr>
                <w:rFonts w:ascii="Arial" w:hAnsi="Arial" w:cs="Arial"/>
                <w:sz w:val="16"/>
                <w:szCs w:val="16"/>
              </w:rPr>
              <w:t>_Attach06-A_v2026-06-30</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9A16B" w14:textId="77777777" w:rsidR="00602688" w:rsidRDefault="00602688" w:rsidP="00A30A4F">
      <w:pPr>
        <w:spacing w:after="0" w:line="240" w:lineRule="auto"/>
      </w:pPr>
      <w:r>
        <w:separator/>
      </w:r>
    </w:p>
  </w:footnote>
  <w:footnote w:type="continuationSeparator" w:id="0">
    <w:p w14:paraId="72495BAD" w14:textId="77777777" w:rsidR="00602688" w:rsidRDefault="00602688" w:rsidP="00A30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6E99D" w14:textId="0A45015B" w:rsidR="00B77EB3" w:rsidRDefault="008F58E4" w:rsidP="00B50D75">
    <w:pPr>
      <w:pStyle w:val="Default"/>
      <w:rPr>
        <w:rFonts w:ascii="Arial" w:hAnsi="Arial" w:cs="Arial"/>
        <w:i/>
        <w:iCs/>
        <w:color w:val="auto"/>
        <w:sz w:val="20"/>
        <w:szCs w:val="20"/>
      </w:rPr>
    </w:pPr>
    <w:r>
      <w:rPr>
        <w:rFonts w:ascii="Arial" w:hAnsi="Arial" w:cs="Arial"/>
        <w:i/>
        <w:iCs/>
        <w:color w:val="auto"/>
        <w:sz w:val="20"/>
        <w:szCs w:val="20"/>
      </w:rPr>
      <w:t xml:space="preserve">Wisconsin </w:t>
    </w:r>
    <w:r w:rsidR="00F86DDF" w:rsidRPr="00CE63A1">
      <w:rPr>
        <w:rFonts w:ascii="Aptos" w:eastAsia="Times New Roman" w:hAnsi="Aptos" w:cs="Arial"/>
        <w:bCs/>
        <w:sz w:val="20"/>
        <w:szCs w:val="20"/>
      </w:rPr>
      <w:t>HTF</w:t>
    </w:r>
    <w:r w:rsidR="00F86DDF">
      <w:rPr>
        <w:rFonts w:ascii="Arial" w:hAnsi="Arial" w:cs="Arial"/>
        <w:i/>
        <w:iCs/>
        <w:color w:val="auto"/>
        <w:sz w:val="20"/>
        <w:szCs w:val="20"/>
      </w:rPr>
      <w:t xml:space="preserve"> </w:t>
    </w:r>
    <w:r w:rsidR="000D5F8B">
      <w:rPr>
        <w:rFonts w:ascii="Arial" w:hAnsi="Arial" w:cs="Arial"/>
        <w:i/>
        <w:iCs/>
        <w:color w:val="auto"/>
        <w:sz w:val="20"/>
        <w:szCs w:val="20"/>
      </w:rPr>
      <w:t>DOA</w:t>
    </w:r>
    <w:r w:rsidR="00B50D75">
      <w:rPr>
        <w:rFonts w:ascii="Arial" w:hAnsi="Arial" w:cs="Arial"/>
        <w:i/>
        <w:iCs/>
        <w:color w:val="auto"/>
        <w:sz w:val="20"/>
        <w:szCs w:val="20"/>
      </w:rPr>
      <w:t xml:space="preserve"> – </w:t>
    </w:r>
    <w:r w:rsidR="00A30A4F" w:rsidRPr="00BF5F70">
      <w:rPr>
        <w:rFonts w:ascii="Arial" w:hAnsi="Arial" w:cs="Arial"/>
        <w:i/>
        <w:iCs/>
        <w:color w:val="auto"/>
        <w:sz w:val="20"/>
        <w:szCs w:val="20"/>
      </w:rPr>
      <w:t>Division</w:t>
    </w:r>
    <w:r w:rsidR="00B50D75">
      <w:rPr>
        <w:rFonts w:ascii="Arial" w:hAnsi="Arial" w:cs="Arial"/>
        <w:i/>
        <w:iCs/>
        <w:color w:val="auto"/>
        <w:sz w:val="20"/>
        <w:szCs w:val="20"/>
      </w:rPr>
      <w:t xml:space="preserve"> </w:t>
    </w:r>
    <w:r w:rsidR="00A30A4F" w:rsidRPr="00BF5F70">
      <w:rPr>
        <w:rFonts w:ascii="Arial" w:hAnsi="Arial" w:cs="Arial"/>
        <w:i/>
        <w:iCs/>
        <w:color w:val="auto"/>
        <w:sz w:val="20"/>
        <w:szCs w:val="20"/>
      </w:rPr>
      <w:t>of Energy, Housing and Community Resources</w:t>
    </w:r>
  </w:p>
  <w:p w14:paraId="4F1F69A1" w14:textId="77777777" w:rsidR="00B50D75" w:rsidRPr="00B50D75" w:rsidRDefault="00B50D75" w:rsidP="00B50D75">
    <w:pPr>
      <w:pStyle w:val="Default"/>
      <w:rPr>
        <w:rFonts w:ascii="Arial" w:hAnsi="Arial" w:cs="Arial"/>
        <w:i/>
        <w:iCs/>
        <w:color w:val="auto"/>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333E8" w14:textId="243683E9" w:rsidR="004008D4" w:rsidRPr="00BF5F70" w:rsidRDefault="004008D4" w:rsidP="000C4561">
    <w:pPr>
      <w:pStyle w:val="Default"/>
      <w:rPr>
        <w:rFonts w:ascii="Arial" w:hAnsi="Arial" w:cs="Arial"/>
        <w:i/>
        <w:iCs/>
        <w:color w:val="auto"/>
        <w:sz w:val="20"/>
        <w:szCs w:val="20"/>
      </w:rPr>
    </w:pPr>
    <w:r w:rsidRPr="00BF5F70">
      <w:rPr>
        <w:rFonts w:ascii="Arial" w:hAnsi="Arial" w:cs="Arial"/>
        <w:i/>
        <w:iCs/>
        <w:color w:val="auto"/>
        <w:sz w:val="20"/>
        <w:szCs w:val="20"/>
      </w:rPr>
      <w:t xml:space="preserve">Wisconsin </w:t>
    </w:r>
    <w:r w:rsidR="00F86DDF" w:rsidRPr="00CE63A1">
      <w:rPr>
        <w:rFonts w:ascii="Aptos" w:eastAsia="Times New Roman" w:hAnsi="Aptos" w:cs="Arial"/>
        <w:bCs/>
        <w:sz w:val="20"/>
        <w:szCs w:val="20"/>
      </w:rPr>
      <w:t>HTF</w:t>
    </w:r>
    <w:r w:rsidR="00F86DDF" w:rsidRPr="00F12D2D">
      <w:rPr>
        <w:sz w:val="18"/>
        <w:szCs w:val="18"/>
      </w:rPr>
      <w:t xml:space="preserve"> </w:t>
    </w:r>
    <w:r w:rsidRPr="00BF5F70">
      <w:rPr>
        <w:rFonts w:ascii="Arial" w:hAnsi="Arial" w:cs="Arial"/>
        <w:i/>
        <w:iCs/>
        <w:color w:val="auto"/>
        <w:sz w:val="20"/>
        <w:szCs w:val="20"/>
      </w:rPr>
      <w:t xml:space="preserve">– Division of Energy, Housing and Community Resources </w:t>
    </w:r>
    <w:r w:rsidRPr="00BF5F70">
      <w:rPr>
        <w:rFonts w:ascii="Arial" w:hAnsi="Arial" w:cs="Arial"/>
        <w:i/>
        <w:iCs/>
        <w:color w:val="0A2F41" w:themeColor="accent1" w:themeShade="80"/>
        <w:sz w:val="20"/>
        <w:szCs w:val="20"/>
      </w:rPr>
      <w:tab/>
    </w:r>
    <w:r w:rsidRPr="00BF5F70">
      <w:rPr>
        <w:rFonts w:ascii="Arial" w:hAnsi="Arial" w:cs="Arial"/>
        <w:i/>
        <w:iCs/>
        <w:color w:val="0A2F41" w:themeColor="accent1" w:themeShade="80"/>
        <w:sz w:val="20"/>
        <w:szCs w:val="20"/>
      </w:rPr>
      <w:tab/>
    </w:r>
    <w:r w:rsidRPr="00BF5F70">
      <w:rPr>
        <w:rFonts w:ascii="Arial" w:hAnsi="Arial" w:cs="Arial"/>
        <w:i/>
        <w:iCs/>
        <w:color w:val="0A2F41" w:themeColor="accent1" w:themeShade="80"/>
        <w:sz w:val="20"/>
        <w:szCs w:val="20"/>
      </w:rPr>
      <w:tab/>
    </w:r>
    <w:r w:rsidRPr="00BF5F70">
      <w:rPr>
        <w:rFonts w:ascii="Arial" w:hAnsi="Arial" w:cs="Arial"/>
        <w:i/>
        <w:iCs/>
        <w:color w:val="0A2F41" w:themeColor="accent1" w:themeShade="80"/>
        <w:sz w:val="20"/>
        <w:szCs w:val="20"/>
      </w:rPr>
      <w:tab/>
    </w:r>
  </w:p>
  <w:p w14:paraId="069B33BC" w14:textId="77777777" w:rsidR="004008D4" w:rsidRPr="00A83099" w:rsidRDefault="004008D4" w:rsidP="00A30A4F">
    <w:pPr>
      <w:pStyle w:val="Header"/>
      <w:rPr>
        <w:rFonts w:ascii="Cambria" w:hAnsi="Cambria"/>
        <w:color w:val="0A2F41" w:themeColor="accent1" w:themeShade="8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839" w:hanging="720"/>
      </w:pPr>
      <w:rPr>
        <w:rFonts w:ascii="Arial" w:hAnsi="Arial" w:cs="Arial"/>
        <w:b w:val="0"/>
        <w:bCs w:val="0"/>
        <w:i w:val="0"/>
        <w:iCs w:val="0"/>
        <w:spacing w:val="0"/>
        <w:w w:val="100"/>
        <w:sz w:val="20"/>
        <w:szCs w:val="20"/>
      </w:rPr>
    </w:lvl>
    <w:lvl w:ilvl="1">
      <w:start w:val="1"/>
      <w:numFmt w:val="lowerLetter"/>
      <w:lvlText w:val="%2."/>
      <w:lvlJc w:val="left"/>
      <w:pPr>
        <w:ind w:left="1199" w:hanging="360"/>
      </w:pPr>
      <w:rPr>
        <w:rFonts w:ascii="Arial" w:hAnsi="Arial" w:cs="Arial"/>
        <w:b w:val="0"/>
        <w:bCs w:val="0"/>
        <w:i w:val="0"/>
        <w:iCs w:val="0"/>
        <w:spacing w:val="0"/>
        <w:w w:val="100"/>
        <w:sz w:val="20"/>
        <w:szCs w:val="20"/>
      </w:rPr>
    </w:lvl>
    <w:lvl w:ilvl="2">
      <w:start w:val="1"/>
      <w:numFmt w:val="lowerRoman"/>
      <w:lvlText w:val="%3."/>
      <w:lvlJc w:val="left"/>
      <w:pPr>
        <w:ind w:left="1740" w:hanging="541"/>
      </w:pPr>
      <w:rPr>
        <w:rFonts w:ascii="Arial" w:hAnsi="Arial" w:cs="Arial"/>
        <w:b w:val="0"/>
        <w:bCs w:val="0"/>
        <w:i w:val="0"/>
        <w:iCs w:val="0"/>
        <w:spacing w:val="-1"/>
        <w:w w:val="100"/>
        <w:sz w:val="20"/>
        <w:szCs w:val="20"/>
      </w:rPr>
    </w:lvl>
    <w:lvl w:ilvl="3">
      <w:numFmt w:val="bullet"/>
      <w:lvlText w:val="•"/>
      <w:lvlJc w:val="left"/>
      <w:pPr>
        <w:ind w:left="2900" w:hanging="541"/>
      </w:pPr>
    </w:lvl>
    <w:lvl w:ilvl="4">
      <w:numFmt w:val="bullet"/>
      <w:lvlText w:val="•"/>
      <w:lvlJc w:val="left"/>
      <w:pPr>
        <w:ind w:left="4060" w:hanging="541"/>
      </w:pPr>
    </w:lvl>
    <w:lvl w:ilvl="5">
      <w:numFmt w:val="bullet"/>
      <w:lvlText w:val="•"/>
      <w:lvlJc w:val="left"/>
      <w:pPr>
        <w:ind w:left="5220" w:hanging="541"/>
      </w:pPr>
    </w:lvl>
    <w:lvl w:ilvl="6">
      <w:numFmt w:val="bullet"/>
      <w:lvlText w:val="•"/>
      <w:lvlJc w:val="left"/>
      <w:pPr>
        <w:ind w:left="6380" w:hanging="541"/>
      </w:pPr>
    </w:lvl>
    <w:lvl w:ilvl="7">
      <w:numFmt w:val="bullet"/>
      <w:lvlText w:val="•"/>
      <w:lvlJc w:val="left"/>
      <w:pPr>
        <w:ind w:left="7540" w:hanging="541"/>
      </w:pPr>
    </w:lvl>
    <w:lvl w:ilvl="8">
      <w:numFmt w:val="bullet"/>
      <w:lvlText w:val="•"/>
      <w:lvlJc w:val="left"/>
      <w:pPr>
        <w:ind w:left="8700" w:hanging="541"/>
      </w:pPr>
    </w:lvl>
  </w:abstractNum>
  <w:abstractNum w:abstractNumId="1" w15:restartNumberingAfterBreak="0">
    <w:nsid w:val="00000403"/>
    <w:multiLevelType w:val="multilevel"/>
    <w:tmpl w:val="FFFFFFFF"/>
    <w:lvl w:ilvl="0">
      <w:start w:val="2"/>
      <w:numFmt w:val="decimal"/>
      <w:lvlText w:val="%1."/>
      <w:lvlJc w:val="left"/>
      <w:pPr>
        <w:ind w:left="839" w:hanging="720"/>
      </w:pPr>
      <w:rPr>
        <w:rFonts w:ascii="Arial" w:hAnsi="Arial" w:cs="Arial"/>
        <w:b w:val="0"/>
        <w:bCs w:val="0"/>
        <w:i w:val="0"/>
        <w:iCs w:val="0"/>
        <w:spacing w:val="0"/>
        <w:w w:val="100"/>
        <w:sz w:val="20"/>
        <w:szCs w:val="20"/>
      </w:rPr>
    </w:lvl>
    <w:lvl w:ilvl="1">
      <w:numFmt w:val="bullet"/>
      <w:lvlText w:val="•"/>
      <w:lvlJc w:val="left"/>
      <w:pPr>
        <w:ind w:left="1858" w:hanging="720"/>
      </w:pPr>
    </w:lvl>
    <w:lvl w:ilvl="2">
      <w:numFmt w:val="bullet"/>
      <w:lvlText w:val="•"/>
      <w:lvlJc w:val="left"/>
      <w:pPr>
        <w:ind w:left="2876" w:hanging="720"/>
      </w:pPr>
    </w:lvl>
    <w:lvl w:ilvl="3">
      <w:numFmt w:val="bullet"/>
      <w:lvlText w:val="•"/>
      <w:lvlJc w:val="left"/>
      <w:pPr>
        <w:ind w:left="3894" w:hanging="720"/>
      </w:pPr>
    </w:lvl>
    <w:lvl w:ilvl="4">
      <w:numFmt w:val="bullet"/>
      <w:lvlText w:val="•"/>
      <w:lvlJc w:val="left"/>
      <w:pPr>
        <w:ind w:left="4912" w:hanging="720"/>
      </w:pPr>
    </w:lvl>
    <w:lvl w:ilvl="5">
      <w:numFmt w:val="bullet"/>
      <w:lvlText w:val="•"/>
      <w:lvlJc w:val="left"/>
      <w:pPr>
        <w:ind w:left="5930" w:hanging="720"/>
      </w:pPr>
    </w:lvl>
    <w:lvl w:ilvl="6">
      <w:numFmt w:val="bullet"/>
      <w:lvlText w:val="•"/>
      <w:lvlJc w:val="left"/>
      <w:pPr>
        <w:ind w:left="6948" w:hanging="720"/>
      </w:pPr>
    </w:lvl>
    <w:lvl w:ilvl="7">
      <w:numFmt w:val="bullet"/>
      <w:lvlText w:val="•"/>
      <w:lvlJc w:val="left"/>
      <w:pPr>
        <w:ind w:left="7966" w:hanging="720"/>
      </w:pPr>
    </w:lvl>
    <w:lvl w:ilvl="8">
      <w:numFmt w:val="bullet"/>
      <w:lvlText w:val="•"/>
      <w:lvlJc w:val="left"/>
      <w:pPr>
        <w:ind w:left="8984" w:hanging="720"/>
      </w:pPr>
    </w:lvl>
  </w:abstractNum>
  <w:abstractNum w:abstractNumId="2" w15:restartNumberingAfterBreak="0">
    <w:nsid w:val="009166F2"/>
    <w:multiLevelType w:val="multilevel"/>
    <w:tmpl w:val="4296EF4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0CA7C08"/>
    <w:multiLevelType w:val="multilevel"/>
    <w:tmpl w:val="06544590"/>
    <w:lvl w:ilvl="0">
      <w:start w:val="3"/>
      <w:numFmt w:val="decimal"/>
      <w:lvlText w:val="%1.0"/>
      <w:lvlJc w:val="left"/>
      <w:pPr>
        <w:ind w:left="360" w:hanging="360"/>
      </w:pPr>
      <w:rPr>
        <w:rFonts w:asciiTheme="majorHAnsi" w:eastAsiaTheme="majorEastAsia" w:hAnsiTheme="majorHAnsi" w:cstheme="majorBidi" w:hint="default"/>
        <w:b/>
        <w:color w:val="0F4761" w:themeColor="accent1" w:themeShade="BF"/>
      </w:rPr>
    </w:lvl>
    <w:lvl w:ilvl="1">
      <w:start w:val="1"/>
      <w:numFmt w:val="decimal"/>
      <w:lvlText w:val="%1.%2"/>
      <w:lvlJc w:val="left"/>
      <w:pPr>
        <w:ind w:left="1080" w:hanging="360"/>
      </w:pPr>
      <w:rPr>
        <w:rFonts w:asciiTheme="majorHAnsi" w:eastAsiaTheme="majorEastAsia" w:hAnsiTheme="majorHAnsi" w:cstheme="majorBidi" w:hint="default"/>
        <w:b/>
        <w:color w:val="0F4761" w:themeColor="accent1" w:themeShade="BF"/>
      </w:rPr>
    </w:lvl>
    <w:lvl w:ilvl="2">
      <w:start w:val="1"/>
      <w:numFmt w:val="decimal"/>
      <w:lvlText w:val="%1.%2.%3"/>
      <w:lvlJc w:val="left"/>
      <w:pPr>
        <w:ind w:left="2160" w:hanging="720"/>
      </w:pPr>
      <w:rPr>
        <w:rFonts w:asciiTheme="majorHAnsi" w:eastAsiaTheme="majorEastAsia" w:hAnsiTheme="majorHAnsi" w:cstheme="majorBidi" w:hint="default"/>
        <w:b/>
        <w:color w:val="0F4761" w:themeColor="accent1" w:themeShade="BF"/>
      </w:rPr>
    </w:lvl>
    <w:lvl w:ilvl="3">
      <w:start w:val="1"/>
      <w:numFmt w:val="decimal"/>
      <w:lvlText w:val="%1.%2.%3.%4"/>
      <w:lvlJc w:val="left"/>
      <w:pPr>
        <w:ind w:left="3240" w:hanging="1080"/>
      </w:pPr>
      <w:rPr>
        <w:rFonts w:asciiTheme="majorHAnsi" w:eastAsiaTheme="majorEastAsia" w:hAnsiTheme="majorHAnsi" w:cstheme="majorBidi" w:hint="default"/>
        <w:b/>
        <w:color w:val="0F4761" w:themeColor="accent1" w:themeShade="BF"/>
      </w:rPr>
    </w:lvl>
    <w:lvl w:ilvl="4">
      <w:start w:val="1"/>
      <w:numFmt w:val="decimal"/>
      <w:lvlText w:val="%1.%2.%3.%4.%5"/>
      <w:lvlJc w:val="left"/>
      <w:pPr>
        <w:ind w:left="3960" w:hanging="1080"/>
      </w:pPr>
      <w:rPr>
        <w:rFonts w:asciiTheme="majorHAnsi" w:eastAsiaTheme="majorEastAsia" w:hAnsiTheme="majorHAnsi" w:cstheme="majorBidi" w:hint="default"/>
        <w:b/>
        <w:color w:val="0F4761" w:themeColor="accent1" w:themeShade="BF"/>
      </w:rPr>
    </w:lvl>
    <w:lvl w:ilvl="5">
      <w:start w:val="1"/>
      <w:numFmt w:val="decimal"/>
      <w:lvlText w:val="%1.%2.%3.%4.%5.%6"/>
      <w:lvlJc w:val="left"/>
      <w:pPr>
        <w:ind w:left="5040" w:hanging="1440"/>
      </w:pPr>
      <w:rPr>
        <w:rFonts w:asciiTheme="majorHAnsi" w:eastAsiaTheme="majorEastAsia" w:hAnsiTheme="majorHAnsi" w:cstheme="majorBidi" w:hint="default"/>
        <w:b/>
        <w:color w:val="0F4761" w:themeColor="accent1" w:themeShade="BF"/>
      </w:rPr>
    </w:lvl>
    <w:lvl w:ilvl="6">
      <w:start w:val="1"/>
      <w:numFmt w:val="decimal"/>
      <w:lvlText w:val="%1.%2.%3.%4.%5.%6.%7"/>
      <w:lvlJc w:val="left"/>
      <w:pPr>
        <w:ind w:left="5760" w:hanging="1440"/>
      </w:pPr>
      <w:rPr>
        <w:rFonts w:asciiTheme="majorHAnsi" w:eastAsiaTheme="majorEastAsia" w:hAnsiTheme="majorHAnsi" w:cstheme="majorBidi" w:hint="default"/>
        <w:b/>
        <w:color w:val="0F4761" w:themeColor="accent1" w:themeShade="BF"/>
      </w:rPr>
    </w:lvl>
    <w:lvl w:ilvl="7">
      <w:start w:val="1"/>
      <w:numFmt w:val="decimal"/>
      <w:lvlText w:val="%1.%2.%3.%4.%5.%6.%7.%8"/>
      <w:lvlJc w:val="left"/>
      <w:pPr>
        <w:ind w:left="6840" w:hanging="1800"/>
      </w:pPr>
      <w:rPr>
        <w:rFonts w:asciiTheme="majorHAnsi" w:eastAsiaTheme="majorEastAsia" w:hAnsiTheme="majorHAnsi" w:cstheme="majorBidi" w:hint="default"/>
        <w:b/>
        <w:color w:val="0F4761" w:themeColor="accent1" w:themeShade="BF"/>
      </w:rPr>
    </w:lvl>
    <w:lvl w:ilvl="8">
      <w:start w:val="1"/>
      <w:numFmt w:val="decimal"/>
      <w:lvlText w:val="%1.%2.%3.%4.%5.%6.%7.%8.%9"/>
      <w:lvlJc w:val="left"/>
      <w:pPr>
        <w:ind w:left="7560" w:hanging="1800"/>
      </w:pPr>
      <w:rPr>
        <w:rFonts w:asciiTheme="majorHAnsi" w:eastAsiaTheme="majorEastAsia" w:hAnsiTheme="majorHAnsi" w:cstheme="majorBidi" w:hint="default"/>
        <w:b/>
        <w:color w:val="0F4761" w:themeColor="accent1" w:themeShade="BF"/>
      </w:rPr>
    </w:lvl>
  </w:abstractNum>
  <w:abstractNum w:abstractNumId="4" w15:restartNumberingAfterBreak="0">
    <w:nsid w:val="06593586"/>
    <w:multiLevelType w:val="hybridMultilevel"/>
    <w:tmpl w:val="2DD493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784BB8"/>
    <w:multiLevelType w:val="hybridMultilevel"/>
    <w:tmpl w:val="28EE8A2A"/>
    <w:lvl w:ilvl="0" w:tplc="05E44776">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0A041A"/>
    <w:multiLevelType w:val="singleLevel"/>
    <w:tmpl w:val="30EC2F6C"/>
    <w:lvl w:ilvl="0">
      <w:start w:val="1"/>
      <w:numFmt w:val="upperLetter"/>
      <w:lvlText w:val="%1."/>
      <w:lvlJc w:val="left"/>
      <w:pPr>
        <w:tabs>
          <w:tab w:val="num" w:pos="720"/>
        </w:tabs>
        <w:ind w:left="720" w:hanging="720"/>
      </w:pPr>
      <w:rPr>
        <w:rFonts w:hint="default"/>
      </w:rPr>
    </w:lvl>
  </w:abstractNum>
  <w:abstractNum w:abstractNumId="7" w15:restartNumberingAfterBreak="0">
    <w:nsid w:val="11506E24"/>
    <w:multiLevelType w:val="hybridMultilevel"/>
    <w:tmpl w:val="49EC6F4A"/>
    <w:lvl w:ilvl="0" w:tplc="0409000F">
      <w:start w:val="1"/>
      <w:numFmt w:val="decimal"/>
      <w:lvlText w:val="%1."/>
      <w:lvlJc w:val="left"/>
      <w:pPr>
        <w:ind w:left="400" w:hanging="360"/>
      </w:p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8" w15:restartNumberingAfterBreak="0">
    <w:nsid w:val="12A031CB"/>
    <w:multiLevelType w:val="multilevel"/>
    <w:tmpl w:val="A2D8E468"/>
    <w:lvl w:ilvl="0">
      <w:start w:val="5"/>
      <w:numFmt w:val="decimal"/>
      <w:lvlText w:val="%1."/>
      <w:lvlJc w:val="left"/>
      <w:pPr>
        <w:tabs>
          <w:tab w:val="num" w:pos="720"/>
        </w:tabs>
        <w:ind w:left="720" w:hanging="360"/>
      </w:pPr>
      <w:rPr>
        <w:rFonts w:hint="default"/>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21277A98"/>
    <w:multiLevelType w:val="hybridMultilevel"/>
    <w:tmpl w:val="EE9A14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7407AA"/>
    <w:multiLevelType w:val="multilevel"/>
    <w:tmpl w:val="9D52CA92"/>
    <w:lvl w:ilvl="0">
      <w:start w:val="1"/>
      <w:numFmt w:val="lowerLetter"/>
      <w:lvlText w:val="%1)"/>
      <w:lvlJc w:val="left"/>
      <w:pPr>
        <w:tabs>
          <w:tab w:val="num" w:pos="1080"/>
        </w:tabs>
        <w:ind w:left="1080" w:hanging="360"/>
      </w:pPr>
      <w:rPr>
        <w:rFonts w:hint="default"/>
        <w:sz w:val="20"/>
      </w:rPr>
    </w:lvl>
    <w:lvl w:ilvl="1">
      <w:start w:val="1"/>
      <w:numFmt w:val="lowerRoman"/>
      <w:lvlText w:val="%2."/>
      <w:lvlJc w:val="right"/>
      <w:pPr>
        <w:tabs>
          <w:tab w:val="num" w:pos="720"/>
        </w:tabs>
        <w:ind w:left="720" w:hanging="360"/>
      </w:pPr>
    </w:lvl>
    <w:lvl w:ilvl="2">
      <w:start w:val="1"/>
      <w:numFmt w:val="lowerRoman"/>
      <w:lvlText w:val="%3."/>
      <w:lvlJc w:val="right"/>
      <w:pPr>
        <w:tabs>
          <w:tab w:val="num" w:pos="1440"/>
        </w:tabs>
        <w:ind w:left="1440" w:hanging="360"/>
      </w:pPr>
    </w:lvl>
    <w:lvl w:ilvl="3">
      <w:start w:val="1"/>
      <w:numFmt w:val="lowerRoman"/>
      <w:lvlText w:val="%4."/>
      <w:lvlJc w:val="right"/>
      <w:pPr>
        <w:tabs>
          <w:tab w:val="num" w:pos="2160"/>
        </w:tabs>
        <w:ind w:left="2160" w:hanging="360"/>
      </w:pPr>
    </w:lvl>
    <w:lvl w:ilvl="4" w:tentative="1">
      <w:start w:val="1"/>
      <w:numFmt w:val="lowerRoman"/>
      <w:lvlText w:val="%5."/>
      <w:lvlJc w:val="right"/>
      <w:pPr>
        <w:tabs>
          <w:tab w:val="num" w:pos="2880"/>
        </w:tabs>
        <w:ind w:left="2880" w:hanging="360"/>
      </w:pPr>
    </w:lvl>
    <w:lvl w:ilvl="5" w:tentative="1">
      <w:start w:val="1"/>
      <w:numFmt w:val="lowerRoman"/>
      <w:lvlText w:val="%6."/>
      <w:lvlJc w:val="right"/>
      <w:pPr>
        <w:tabs>
          <w:tab w:val="num" w:pos="3600"/>
        </w:tabs>
        <w:ind w:left="3600" w:hanging="360"/>
      </w:pPr>
    </w:lvl>
    <w:lvl w:ilvl="6" w:tentative="1">
      <w:start w:val="1"/>
      <w:numFmt w:val="lowerRoman"/>
      <w:lvlText w:val="%7."/>
      <w:lvlJc w:val="right"/>
      <w:pPr>
        <w:tabs>
          <w:tab w:val="num" w:pos="4320"/>
        </w:tabs>
        <w:ind w:left="4320" w:hanging="360"/>
      </w:pPr>
    </w:lvl>
    <w:lvl w:ilvl="7" w:tentative="1">
      <w:start w:val="1"/>
      <w:numFmt w:val="lowerRoman"/>
      <w:lvlText w:val="%8."/>
      <w:lvlJc w:val="right"/>
      <w:pPr>
        <w:tabs>
          <w:tab w:val="num" w:pos="5040"/>
        </w:tabs>
        <w:ind w:left="5040" w:hanging="360"/>
      </w:pPr>
    </w:lvl>
    <w:lvl w:ilvl="8" w:tentative="1">
      <w:start w:val="1"/>
      <w:numFmt w:val="lowerRoman"/>
      <w:lvlText w:val="%9."/>
      <w:lvlJc w:val="right"/>
      <w:pPr>
        <w:tabs>
          <w:tab w:val="num" w:pos="5760"/>
        </w:tabs>
        <w:ind w:left="5760" w:hanging="360"/>
      </w:pPr>
    </w:lvl>
  </w:abstractNum>
  <w:abstractNum w:abstractNumId="11" w15:restartNumberingAfterBreak="0">
    <w:nsid w:val="22FD7F84"/>
    <w:multiLevelType w:val="multilevel"/>
    <w:tmpl w:val="406CE5E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2AE12C47"/>
    <w:multiLevelType w:val="multilevel"/>
    <w:tmpl w:val="A9AE0EC6"/>
    <w:lvl w:ilvl="0">
      <w:start w:val="3"/>
      <w:numFmt w:val="lowerLetter"/>
      <w:lvlText w:val="(%1)"/>
      <w:lvlJc w:val="left"/>
      <w:pPr>
        <w:tabs>
          <w:tab w:val="num" w:pos="1080"/>
        </w:tabs>
        <w:ind w:left="1080" w:hanging="360"/>
      </w:pPr>
      <w:rPr>
        <w:rFonts w:hint="default"/>
        <w:sz w:val="20"/>
      </w:rPr>
    </w:lvl>
    <w:lvl w:ilvl="1">
      <w:start w:val="1"/>
      <w:numFmt w:val="lowerLetter"/>
      <w:lvlText w:val="%2."/>
      <w:lvlJc w:val="left"/>
      <w:pPr>
        <w:tabs>
          <w:tab w:val="num" w:pos="1800"/>
        </w:tabs>
        <w:ind w:left="1800" w:hanging="360"/>
      </w:pPr>
      <w:rPr>
        <w:rFonts w:hint="default"/>
      </w:rPr>
    </w:lvl>
    <w:lvl w:ilvl="2">
      <w:start w:val="1"/>
      <w:numFmt w:val="lowerLetter"/>
      <w:lvlText w:val="%3."/>
      <w:lvlJc w:val="left"/>
      <w:pPr>
        <w:tabs>
          <w:tab w:val="num" w:pos="2520"/>
        </w:tabs>
        <w:ind w:left="2520" w:hanging="360"/>
      </w:pPr>
      <w:rPr>
        <w:rFonts w:hint="default"/>
      </w:rPr>
    </w:lvl>
    <w:lvl w:ilvl="3">
      <w:start w:val="1"/>
      <w:numFmt w:val="lowerLetter"/>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Letter"/>
      <w:lvlText w:val="%6."/>
      <w:lvlJc w:val="left"/>
      <w:pPr>
        <w:tabs>
          <w:tab w:val="num" w:pos="4680"/>
        </w:tabs>
        <w:ind w:left="4680" w:hanging="360"/>
      </w:pPr>
      <w:rPr>
        <w:rFonts w:hint="default"/>
      </w:rPr>
    </w:lvl>
    <w:lvl w:ilvl="6">
      <w:start w:val="1"/>
      <w:numFmt w:val="lowerLetter"/>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Letter"/>
      <w:lvlText w:val="%9."/>
      <w:lvlJc w:val="left"/>
      <w:pPr>
        <w:tabs>
          <w:tab w:val="num" w:pos="6840"/>
        </w:tabs>
        <w:ind w:left="6840" w:hanging="360"/>
      </w:pPr>
      <w:rPr>
        <w:rFonts w:hint="default"/>
      </w:rPr>
    </w:lvl>
  </w:abstractNum>
  <w:abstractNum w:abstractNumId="13" w15:restartNumberingAfterBreak="0">
    <w:nsid w:val="3A3846FD"/>
    <w:multiLevelType w:val="multilevel"/>
    <w:tmpl w:val="119AB5F4"/>
    <w:lvl w:ilvl="0">
      <w:start w:val="1"/>
      <w:numFmt w:val="decimal"/>
      <w:lvlText w:val="%1)"/>
      <w:lvlJc w:val="left"/>
      <w:pPr>
        <w:tabs>
          <w:tab w:val="num" w:pos="1080"/>
        </w:tabs>
        <w:ind w:left="1080" w:hanging="360"/>
      </w:pPr>
      <w:rPr>
        <w:rFonts w:ascii="Aptos" w:hAnsi="Aptos" w:hint="default"/>
        <w:sz w:val="20"/>
      </w:rPr>
    </w:lvl>
    <w:lvl w:ilvl="1">
      <w:start w:val="1"/>
      <w:numFmt w:val="lowerRoman"/>
      <w:lvlText w:val="%2."/>
      <w:lvlJc w:val="right"/>
      <w:pPr>
        <w:tabs>
          <w:tab w:val="num" w:pos="720"/>
        </w:tabs>
        <w:ind w:left="720" w:hanging="360"/>
      </w:pPr>
    </w:lvl>
    <w:lvl w:ilvl="2">
      <w:start w:val="1"/>
      <w:numFmt w:val="lowerRoman"/>
      <w:lvlText w:val="%3."/>
      <w:lvlJc w:val="right"/>
      <w:pPr>
        <w:tabs>
          <w:tab w:val="num" w:pos="1440"/>
        </w:tabs>
        <w:ind w:left="1440" w:hanging="360"/>
      </w:pPr>
    </w:lvl>
    <w:lvl w:ilvl="3">
      <w:start w:val="1"/>
      <w:numFmt w:val="lowerRoman"/>
      <w:lvlText w:val="%4."/>
      <w:lvlJc w:val="right"/>
      <w:pPr>
        <w:tabs>
          <w:tab w:val="num" w:pos="2160"/>
        </w:tabs>
        <w:ind w:left="2160" w:hanging="360"/>
      </w:pPr>
    </w:lvl>
    <w:lvl w:ilvl="4" w:tentative="1">
      <w:start w:val="1"/>
      <w:numFmt w:val="lowerRoman"/>
      <w:lvlText w:val="%5."/>
      <w:lvlJc w:val="right"/>
      <w:pPr>
        <w:tabs>
          <w:tab w:val="num" w:pos="2880"/>
        </w:tabs>
        <w:ind w:left="2880" w:hanging="360"/>
      </w:pPr>
    </w:lvl>
    <w:lvl w:ilvl="5" w:tentative="1">
      <w:start w:val="1"/>
      <w:numFmt w:val="lowerRoman"/>
      <w:lvlText w:val="%6."/>
      <w:lvlJc w:val="right"/>
      <w:pPr>
        <w:tabs>
          <w:tab w:val="num" w:pos="3600"/>
        </w:tabs>
        <w:ind w:left="3600" w:hanging="360"/>
      </w:pPr>
    </w:lvl>
    <w:lvl w:ilvl="6" w:tentative="1">
      <w:start w:val="1"/>
      <w:numFmt w:val="lowerRoman"/>
      <w:lvlText w:val="%7."/>
      <w:lvlJc w:val="right"/>
      <w:pPr>
        <w:tabs>
          <w:tab w:val="num" w:pos="4320"/>
        </w:tabs>
        <w:ind w:left="4320" w:hanging="360"/>
      </w:pPr>
    </w:lvl>
    <w:lvl w:ilvl="7" w:tentative="1">
      <w:start w:val="1"/>
      <w:numFmt w:val="lowerRoman"/>
      <w:lvlText w:val="%8."/>
      <w:lvlJc w:val="right"/>
      <w:pPr>
        <w:tabs>
          <w:tab w:val="num" w:pos="5040"/>
        </w:tabs>
        <w:ind w:left="5040" w:hanging="360"/>
      </w:pPr>
    </w:lvl>
    <w:lvl w:ilvl="8" w:tentative="1">
      <w:start w:val="1"/>
      <w:numFmt w:val="lowerRoman"/>
      <w:lvlText w:val="%9."/>
      <w:lvlJc w:val="right"/>
      <w:pPr>
        <w:tabs>
          <w:tab w:val="num" w:pos="5760"/>
        </w:tabs>
        <w:ind w:left="5760" w:hanging="360"/>
      </w:pPr>
    </w:lvl>
  </w:abstractNum>
  <w:abstractNum w:abstractNumId="14" w15:restartNumberingAfterBreak="0">
    <w:nsid w:val="3CF82968"/>
    <w:multiLevelType w:val="multilevel"/>
    <w:tmpl w:val="2700B434"/>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42D4061"/>
    <w:multiLevelType w:val="multilevel"/>
    <w:tmpl w:val="2D2C44A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4A672584"/>
    <w:multiLevelType w:val="hybridMultilevel"/>
    <w:tmpl w:val="41C81D38"/>
    <w:lvl w:ilvl="0" w:tplc="BD24AC88">
      <w:start w:val="1"/>
      <w:numFmt w:val="decimal"/>
      <w:pStyle w:val="Heading3"/>
      <w:lvlText w:val="%1.0"/>
      <w:lvlJc w:val="left"/>
      <w:pPr>
        <w:ind w:left="360" w:hanging="360"/>
      </w:pPr>
      <w:rPr>
        <w:rFonts w:ascii="Aptos" w:hAnsi="Aptos" w:hint="default"/>
        <w:b/>
        <w:i w:val="0"/>
        <w:color w:val="0F4761" w:themeColor="accent1" w:themeShade="BF"/>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5804B3"/>
    <w:multiLevelType w:val="hybridMultilevel"/>
    <w:tmpl w:val="E68053F4"/>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12A5F"/>
    <w:multiLevelType w:val="hybridMultilevel"/>
    <w:tmpl w:val="8FD2D3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22228C8"/>
    <w:multiLevelType w:val="multilevel"/>
    <w:tmpl w:val="FFAC2CD0"/>
    <w:lvl w:ilvl="0">
      <w:start w:val="1"/>
      <w:numFmt w:val="lowerLetter"/>
      <w:lvlText w:val="(%1)"/>
      <w:lvlJc w:val="left"/>
      <w:pPr>
        <w:tabs>
          <w:tab w:val="num" w:pos="1080"/>
        </w:tabs>
        <w:ind w:left="1080" w:hanging="360"/>
      </w:pPr>
      <w:rPr>
        <w:rFonts w:hint="default"/>
        <w:sz w:val="20"/>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0" w15:restartNumberingAfterBreak="0">
    <w:nsid w:val="534A76B9"/>
    <w:multiLevelType w:val="multilevel"/>
    <w:tmpl w:val="CF98A006"/>
    <w:lvl w:ilvl="0">
      <w:start w:val="2"/>
      <w:numFmt w:val="lowerLetter"/>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1" w15:restartNumberingAfterBreak="0">
    <w:nsid w:val="54870E37"/>
    <w:multiLevelType w:val="hybridMultilevel"/>
    <w:tmpl w:val="0E7609D2"/>
    <w:lvl w:ilvl="0" w:tplc="04090017">
      <w:start w:val="1"/>
      <w:numFmt w:val="lowerLetter"/>
      <w:lvlText w:val="%1)"/>
      <w:lvlJc w:val="left"/>
      <w:pPr>
        <w:ind w:left="1199" w:hanging="360"/>
      </w:pPr>
    </w:lvl>
    <w:lvl w:ilvl="1" w:tplc="04090019">
      <w:start w:val="1"/>
      <w:numFmt w:val="lowerLetter"/>
      <w:lvlText w:val="%2."/>
      <w:lvlJc w:val="left"/>
      <w:pPr>
        <w:ind w:left="1919" w:hanging="360"/>
      </w:pPr>
    </w:lvl>
    <w:lvl w:ilvl="2" w:tplc="0409001B">
      <w:start w:val="1"/>
      <w:numFmt w:val="lowerRoman"/>
      <w:lvlText w:val="%3."/>
      <w:lvlJc w:val="right"/>
      <w:pPr>
        <w:ind w:left="2639" w:hanging="180"/>
      </w:pPr>
    </w:lvl>
    <w:lvl w:ilvl="3" w:tplc="0409000F" w:tentative="1">
      <w:start w:val="1"/>
      <w:numFmt w:val="decimal"/>
      <w:lvlText w:val="%4."/>
      <w:lvlJc w:val="left"/>
      <w:pPr>
        <w:ind w:left="3359" w:hanging="360"/>
      </w:pPr>
    </w:lvl>
    <w:lvl w:ilvl="4" w:tplc="04090019" w:tentative="1">
      <w:start w:val="1"/>
      <w:numFmt w:val="lowerLetter"/>
      <w:lvlText w:val="%5."/>
      <w:lvlJc w:val="left"/>
      <w:pPr>
        <w:ind w:left="4079" w:hanging="360"/>
      </w:pPr>
    </w:lvl>
    <w:lvl w:ilvl="5" w:tplc="0409001B" w:tentative="1">
      <w:start w:val="1"/>
      <w:numFmt w:val="lowerRoman"/>
      <w:lvlText w:val="%6."/>
      <w:lvlJc w:val="right"/>
      <w:pPr>
        <w:ind w:left="4799" w:hanging="180"/>
      </w:pPr>
    </w:lvl>
    <w:lvl w:ilvl="6" w:tplc="0409000F" w:tentative="1">
      <w:start w:val="1"/>
      <w:numFmt w:val="decimal"/>
      <w:lvlText w:val="%7."/>
      <w:lvlJc w:val="left"/>
      <w:pPr>
        <w:ind w:left="5519" w:hanging="360"/>
      </w:pPr>
    </w:lvl>
    <w:lvl w:ilvl="7" w:tplc="04090019" w:tentative="1">
      <w:start w:val="1"/>
      <w:numFmt w:val="lowerLetter"/>
      <w:lvlText w:val="%8."/>
      <w:lvlJc w:val="left"/>
      <w:pPr>
        <w:ind w:left="6239" w:hanging="360"/>
      </w:pPr>
    </w:lvl>
    <w:lvl w:ilvl="8" w:tplc="0409001B" w:tentative="1">
      <w:start w:val="1"/>
      <w:numFmt w:val="lowerRoman"/>
      <w:lvlText w:val="%9."/>
      <w:lvlJc w:val="right"/>
      <w:pPr>
        <w:ind w:left="6959" w:hanging="180"/>
      </w:pPr>
    </w:lvl>
  </w:abstractNum>
  <w:abstractNum w:abstractNumId="22" w15:restartNumberingAfterBreak="0">
    <w:nsid w:val="5EB2259D"/>
    <w:multiLevelType w:val="multilevel"/>
    <w:tmpl w:val="81F8691C"/>
    <w:lvl w:ilvl="0">
      <w:start w:val="1"/>
      <w:numFmt w:val="decimal"/>
      <w:lvlText w:val="%1)"/>
      <w:lvlJc w:val="left"/>
      <w:pPr>
        <w:tabs>
          <w:tab w:val="num" w:pos="720"/>
        </w:tabs>
        <w:ind w:left="720" w:hanging="360"/>
      </w:pPr>
      <w:rPr>
        <w:rFonts w:ascii="Aptos" w:hAnsi="Aptos" w:hint="default"/>
        <w:sz w:val="20"/>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5F40711B"/>
    <w:multiLevelType w:val="hybridMultilevel"/>
    <w:tmpl w:val="0D9C95D4"/>
    <w:lvl w:ilvl="0" w:tplc="05E44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7739F3"/>
    <w:multiLevelType w:val="hybridMultilevel"/>
    <w:tmpl w:val="E0CC9C3E"/>
    <w:lvl w:ilvl="0" w:tplc="93909FA8">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6F33DCC"/>
    <w:multiLevelType w:val="singleLevel"/>
    <w:tmpl w:val="335E1B4E"/>
    <w:lvl w:ilvl="0">
      <w:start w:val="1"/>
      <w:numFmt w:val="decimal"/>
      <w:lvlText w:val="%1."/>
      <w:lvlJc w:val="left"/>
      <w:pPr>
        <w:tabs>
          <w:tab w:val="num" w:pos="720"/>
        </w:tabs>
        <w:ind w:left="720" w:hanging="720"/>
      </w:pPr>
      <w:rPr>
        <w:rFonts w:hint="default"/>
      </w:rPr>
    </w:lvl>
  </w:abstractNum>
  <w:abstractNum w:abstractNumId="26" w15:restartNumberingAfterBreak="0">
    <w:nsid w:val="680609EF"/>
    <w:multiLevelType w:val="singleLevel"/>
    <w:tmpl w:val="8474B806"/>
    <w:lvl w:ilvl="0">
      <w:start w:val="1"/>
      <w:numFmt w:val="decimal"/>
      <w:lvlText w:val="%1."/>
      <w:lvlJc w:val="left"/>
      <w:pPr>
        <w:tabs>
          <w:tab w:val="num" w:pos="720"/>
        </w:tabs>
        <w:ind w:left="720" w:hanging="720"/>
      </w:pPr>
      <w:rPr>
        <w:rFonts w:hint="default"/>
      </w:rPr>
    </w:lvl>
  </w:abstractNum>
  <w:abstractNum w:abstractNumId="27" w15:restartNumberingAfterBreak="0">
    <w:nsid w:val="6B782DDC"/>
    <w:multiLevelType w:val="multilevel"/>
    <w:tmpl w:val="F9609D10"/>
    <w:lvl w:ilvl="0">
      <w:start w:val="1"/>
      <w:numFmt w:val="lowerLetter"/>
      <w:lvlText w:val="%1)"/>
      <w:lvlJc w:val="left"/>
      <w:pPr>
        <w:ind w:left="1559" w:hanging="720"/>
      </w:pPr>
      <w:rPr>
        <w:b w:val="0"/>
        <w:bCs w:val="0"/>
        <w:i w:val="0"/>
        <w:iCs w:val="0"/>
        <w:spacing w:val="0"/>
        <w:w w:val="100"/>
        <w:sz w:val="20"/>
        <w:szCs w:val="20"/>
      </w:rPr>
    </w:lvl>
    <w:lvl w:ilvl="1">
      <w:start w:val="1"/>
      <w:numFmt w:val="lowerLetter"/>
      <w:lvlText w:val="%2."/>
      <w:lvlJc w:val="left"/>
      <w:pPr>
        <w:ind w:left="1919" w:hanging="360"/>
      </w:pPr>
      <w:rPr>
        <w:rFonts w:ascii="Arial" w:hAnsi="Arial" w:cs="Arial"/>
        <w:b w:val="0"/>
        <w:bCs w:val="0"/>
        <w:i w:val="0"/>
        <w:iCs w:val="0"/>
        <w:spacing w:val="0"/>
        <w:w w:val="100"/>
        <w:sz w:val="20"/>
        <w:szCs w:val="20"/>
      </w:rPr>
    </w:lvl>
    <w:lvl w:ilvl="2">
      <w:start w:val="1"/>
      <w:numFmt w:val="lowerRoman"/>
      <w:lvlText w:val="%3."/>
      <w:lvlJc w:val="left"/>
      <w:pPr>
        <w:ind w:left="2460" w:hanging="541"/>
      </w:pPr>
      <w:rPr>
        <w:rFonts w:ascii="Arial" w:hAnsi="Arial" w:cs="Arial"/>
        <w:b w:val="0"/>
        <w:bCs w:val="0"/>
        <w:i w:val="0"/>
        <w:iCs w:val="0"/>
        <w:spacing w:val="-1"/>
        <w:w w:val="100"/>
        <w:sz w:val="20"/>
        <w:szCs w:val="20"/>
      </w:rPr>
    </w:lvl>
    <w:lvl w:ilvl="3">
      <w:numFmt w:val="bullet"/>
      <w:lvlText w:val="•"/>
      <w:lvlJc w:val="left"/>
      <w:pPr>
        <w:ind w:left="3620" w:hanging="541"/>
      </w:pPr>
    </w:lvl>
    <w:lvl w:ilvl="4">
      <w:numFmt w:val="bullet"/>
      <w:lvlText w:val="•"/>
      <w:lvlJc w:val="left"/>
      <w:pPr>
        <w:ind w:left="4780" w:hanging="541"/>
      </w:pPr>
    </w:lvl>
    <w:lvl w:ilvl="5">
      <w:numFmt w:val="bullet"/>
      <w:lvlText w:val="•"/>
      <w:lvlJc w:val="left"/>
      <w:pPr>
        <w:ind w:left="5940" w:hanging="541"/>
      </w:pPr>
    </w:lvl>
    <w:lvl w:ilvl="6">
      <w:numFmt w:val="bullet"/>
      <w:lvlText w:val="•"/>
      <w:lvlJc w:val="left"/>
      <w:pPr>
        <w:ind w:left="7100" w:hanging="541"/>
      </w:pPr>
    </w:lvl>
    <w:lvl w:ilvl="7">
      <w:numFmt w:val="bullet"/>
      <w:lvlText w:val="•"/>
      <w:lvlJc w:val="left"/>
      <w:pPr>
        <w:ind w:left="8260" w:hanging="541"/>
      </w:pPr>
    </w:lvl>
    <w:lvl w:ilvl="8">
      <w:numFmt w:val="bullet"/>
      <w:lvlText w:val="•"/>
      <w:lvlJc w:val="left"/>
      <w:pPr>
        <w:ind w:left="9420" w:hanging="541"/>
      </w:pPr>
    </w:lvl>
  </w:abstractNum>
  <w:abstractNum w:abstractNumId="28" w15:restartNumberingAfterBreak="0">
    <w:nsid w:val="723B089F"/>
    <w:multiLevelType w:val="hybridMultilevel"/>
    <w:tmpl w:val="C498AA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E45BE6"/>
    <w:multiLevelType w:val="multilevel"/>
    <w:tmpl w:val="C22E0F56"/>
    <w:lvl w:ilvl="0">
      <w:start w:val="1"/>
      <w:numFmt w:val="lowerLetter"/>
      <w:lvlText w:val="(%1)"/>
      <w:lvlJc w:val="left"/>
      <w:pPr>
        <w:tabs>
          <w:tab w:val="num" w:pos="1080"/>
        </w:tabs>
        <w:ind w:left="1080" w:hanging="360"/>
      </w:pPr>
      <w:rPr>
        <w:rFonts w:hint="default"/>
        <w:sz w:val="20"/>
      </w:r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0" w15:restartNumberingAfterBreak="0">
    <w:nsid w:val="7A782783"/>
    <w:multiLevelType w:val="multilevel"/>
    <w:tmpl w:val="12083B58"/>
    <w:lvl w:ilvl="0">
      <w:start w:val="2"/>
      <w:numFmt w:val="decimal"/>
      <w:lvlText w:val="%1.0"/>
      <w:lvlJc w:val="left"/>
      <w:pPr>
        <w:ind w:left="360" w:hanging="360"/>
      </w:pPr>
      <w:rPr>
        <w:rFonts w:asciiTheme="majorHAnsi" w:eastAsiaTheme="majorEastAsia" w:hAnsiTheme="majorHAnsi" w:cstheme="majorBidi" w:hint="default"/>
        <w:b/>
        <w:color w:val="0F4761" w:themeColor="accent1" w:themeShade="BF"/>
      </w:rPr>
    </w:lvl>
    <w:lvl w:ilvl="1">
      <w:start w:val="1"/>
      <w:numFmt w:val="decimal"/>
      <w:lvlText w:val="%1.%2"/>
      <w:lvlJc w:val="left"/>
      <w:pPr>
        <w:ind w:left="1080" w:hanging="360"/>
      </w:pPr>
      <w:rPr>
        <w:rFonts w:asciiTheme="majorHAnsi" w:eastAsiaTheme="majorEastAsia" w:hAnsiTheme="majorHAnsi" w:cstheme="majorBidi" w:hint="default"/>
        <w:b/>
        <w:color w:val="0F4761" w:themeColor="accent1" w:themeShade="BF"/>
      </w:rPr>
    </w:lvl>
    <w:lvl w:ilvl="2">
      <w:start w:val="1"/>
      <w:numFmt w:val="decimal"/>
      <w:lvlText w:val="%1.%2.%3"/>
      <w:lvlJc w:val="left"/>
      <w:pPr>
        <w:ind w:left="2160" w:hanging="720"/>
      </w:pPr>
      <w:rPr>
        <w:rFonts w:asciiTheme="majorHAnsi" w:eastAsiaTheme="majorEastAsia" w:hAnsiTheme="majorHAnsi" w:cstheme="majorBidi" w:hint="default"/>
        <w:b/>
        <w:color w:val="0F4761" w:themeColor="accent1" w:themeShade="BF"/>
      </w:rPr>
    </w:lvl>
    <w:lvl w:ilvl="3">
      <w:start w:val="1"/>
      <w:numFmt w:val="decimal"/>
      <w:lvlText w:val="%1.%2.%3.%4"/>
      <w:lvlJc w:val="left"/>
      <w:pPr>
        <w:ind w:left="2880" w:hanging="720"/>
      </w:pPr>
      <w:rPr>
        <w:rFonts w:asciiTheme="majorHAnsi" w:eastAsiaTheme="majorEastAsia" w:hAnsiTheme="majorHAnsi" w:cstheme="majorBidi" w:hint="default"/>
        <w:b/>
        <w:color w:val="0F4761" w:themeColor="accent1" w:themeShade="BF"/>
      </w:rPr>
    </w:lvl>
    <w:lvl w:ilvl="4">
      <w:start w:val="1"/>
      <w:numFmt w:val="decimal"/>
      <w:lvlText w:val="%1.%2.%3.%4.%5"/>
      <w:lvlJc w:val="left"/>
      <w:pPr>
        <w:ind w:left="3600" w:hanging="720"/>
      </w:pPr>
      <w:rPr>
        <w:rFonts w:asciiTheme="majorHAnsi" w:eastAsiaTheme="majorEastAsia" w:hAnsiTheme="majorHAnsi" w:cstheme="majorBidi" w:hint="default"/>
        <w:b/>
        <w:color w:val="0F4761" w:themeColor="accent1" w:themeShade="BF"/>
      </w:rPr>
    </w:lvl>
    <w:lvl w:ilvl="5">
      <w:start w:val="1"/>
      <w:numFmt w:val="decimal"/>
      <w:lvlText w:val="%1.%2.%3.%4.%5.%6"/>
      <w:lvlJc w:val="left"/>
      <w:pPr>
        <w:ind w:left="4680" w:hanging="1080"/>
      </w:pPr>
      <w:rPr>
        <w:rFonts w:asciiTheme="majorHAnsi" w:eastAsiaTheme="majorEastAsia" w:hAnsiTheme="majorHAnsi" w:cstheme="majorBidi" w:hint="default"/>
        <w:b/>
        <w:color w:val="0F4761" w:themeColor="accent1" w:themeShade="BF"/>
      </w:rPr>
    </w:lvl>
    <w:lvl w:ilvl="6">
      <w:start w:val="1"/>
      <w:numFmt w:val="decimal"/>
      <w:lvlText w:val="%1.%2.%3.%4.%5.%6.%7"/>
      <w:lvlJc w:val="left"/>
      <w:pPr>
        <w:ind w:left="5400" w:hanging="1080"/>
      </w:pPr>
      <w:rPr>
        <w:rFonts w:asciiTheme="majorHAnsi" w:eastAsiaTheme="majorEastAsia" w:hAnsiTheme="majorHAnsi" w:cstheme="majorBidi" w:hint="default"/>
        <w:b/>
        <w:color w:val="0F4761" w:themeColor="accent1" w:themeShade="BF"/>
      </w:rPr>
    </w:lvl>
    <w:lvl w:ilvl="7">
      <w:start w:val="1"/>
      <w:numFmt w:val="decimal"/>
      <w:lvlText w:val="%1.%2.%3.%4.%5.%6.%7.%8"/>
      <w:lvlJc w:val="left"/>
      <w:pPr>
        <w:ind w:left="6480" w:hanging="1440"/>
      </w:pPr>
      <w:rPr>
        <w:rFonts w:asciiTheme="majorHAnsi" w:eastAsiaTheme="majorEastAsia" w:hAnsiTheme="majorHAnsi" w:cstheme="majorBidi" w:hint="default"/>
        <w:b/>
        <w:color w:val="0F4761" w:themeColor="accent1" w:themeShade="BF"/>
      </w:rPr>
    </w:lvl>
    <w:lvl w:ilvl="8">
      <w:start w:val="1"/>
      <w:numFmt w:val="decimal"/>
      <w:lvlText w:val="%1.%2.%3.%4.%5.%6.%7.%8.%9"/>
      <w:lvlJc w:val="left"/>
      <w:pPr>
        <w:ind w:left="7200" w:hanging="1440"/>
      </w:pPr>
      <w:rPr>
        <w:rFonts w:asciiTheme="majorHAnsi" w:eastAsiaTheme="majorEastAsia" w:hAnsiTheme="majorHAnsi" w:cstheme="majorBidi" w:hint="default"/>
        <w:b/>
        <w:color w:val="0F4761" w:themeColor="accent1" w:themeShade="BF"/>
      </w:rPr>
    </w:lvl>
  </w:abstractNum>
  <w:num w:numId="1" w16cid:durableId="2139371959">
    <w:abstractNumId w:val="1"/>
  </w:num>
  <w:num w:numId="2" w16cid:durableId="1313753881">
    <w:abstractNumId w:val="0"/>
  </w:num>
  <w:num w:numId="3" w16cid:durableId="217136318">
    <w:abstractNumId w:val="7"/>
  </w:num>
  <w:num w:numId="4" w16cid:durableId="1655256986">
    <w:abstractNumId w:val="21"/>
  </w:num>
  <w:num w:numId="5" w16cid:durableId="409233888">
    <w:abstractNumId w:val="27"/>
  </w:num>
  <w:num w:numId="6" w16cid:durableId="619609301">
    <w:abstractNumId w:val="11"/>
  </w:num>
  <w:num w:numId="7" w16cid:durableId="1394281335">
    <w:abstractNumId w:val="19"/>
  </w:num>
  <w:num w:numId="8" w16cid:durableId="1269435234">
    <w:abstractNumId w:val="22"/>
  </w:num>
  <w:num w:numId="9" w16cid:durableId="1880051277">
    <w:abstractNumId w:val="12"/>
  </w:num>
  <w:num w:numId="10" w16cid:durableId="935013740">
    <w:abstractNumId w:val="29"/>
  </w:num>
  <w:num w:numId="11" w16cid:durableId="154297043">
    <w:abstractNumId w:val="13"/>
  </w:num>
  <w:num w:numId="12" w16cid:durableId="915282719">
    <w:abstractNumId w:val="20"/>
  </w:num>
  <w:num w:numId="13" w16cid:durableId="577596610">
    <w:abstractNumId w:val="14"/>
  </w:num>
  <w:num w:numId="14" w16cid:durableId="58552882">
    <w:abstractNumId w:val="8"/>
  </w:num>
  <w:num w:numId="15" w16cid:durableId="1757747160">
    <w:abstractNumId w:val="26"/>
  </w:num>
  <w:num w:numId="16" w16cid:durableId="1055396826">
    <w:abstractNumId w:val="10"/>
  </w:num>
  <w:num w:numId="17" w16cid:durableId="366953036">
    <w:abstractNumId w:val="2"/>
  </w:num>
  <w:num w:numId="18" w16cid:durableId="1486431441">
    <w:abstractNumId w:val="9"/>
  </w:num>
  <w:num w:numId="19" w16cid:durableId="491415638">
    <w:abstractNumId w:val="4"/>
  </w:num>
  <w:num w:numId="20" w16cid:durableId="14161418">
    <w:abstractNumId w:val="30"/>
  </w:num>
  <w:num w:numId="21" w16cid:durableId="603072600">
    <w:abstractNumId w:val="28"/>
  </w:num>
  <w:num w:numId="22" w16cid:durableId="1499543358">
    <w:abstractNumId w:val="23"/>
  </w:num>
  <w:num w:numId="23" w16cid:durableId="540940653">
    <w:abstractNumId w:val="5"/>
  </w:num>
  <w:num w:numId="24" w16cid:durableId="303001152">
    <w:abstractNumId w:val="3"/>
  </w:num>
  <w:num w:numId="25" w16cid:durableId="1431975012">
    <w:abstractNumId w:val="6"/>
  </w:num>
  <w:num w:numId="26" w16cid:durableId="190262488">
    <w:abstractNumId w:val="15"/>
  </w:num>
  <w:num w:numId="27" w16cid:durableId="1436822845">
    <w:abstractNumId w:val="25"/>
  </w:num>
  <w:num w:numId="28" w16cid:durableId="998850689">
    <w:abstractNumId w:val="17"/>
  </w:num>
  <w:num w:numId="29" w16cid:durableId="1603223611">
    <w:abstractNumId w:val="18"/>
  </w:num>
  <w:num w:numId="30" w16cid:durableId="1493793228">
    <w:abstractNumId w:val="24"/>
  </w:num>
  <w:num w:numId="31" w16cid:durableId="719595660">
    <w:abstractNumId w:val="16"/>
  </w:num>
  <w:num w:numId="32" w16cid:durableId="1237934893">
    <w:abstractNumId w:val="16"/>
    <w:lvlOverride w:ilvl="0">
      <w:startOverride w:val="1"/>
    </w:lvlOverride>
  </w:num>
  <w:num w:numId="33" w16cid:durableId="467167602">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eBYE9CJ8J5nwxRShdGcYsIHcvOIpNNTYR/pk32XjBmNa2JCp5sBvluc3rmp5QdW82vauFtAPQG5MOqLRl9pug==" w:salt="N3mOdftXvQRi9llCcsZ6A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A4F"/>
    <w:rsid w:val="00076263"/>
    <w:rsid w:val="00094176"/>
    <w:rsid w:val="000C4561"/>
    <w:rsid w:val="000D5F8B"/>
    <w:rsid w:val="000F1B5F"/>
    <w:rsid w:val="001225D8"/>
    <w:rsid w:val="00130565"/>
    <w:rsid w:val="001774B5"/>
    <w:rsid w:val="001930F1"/>
    <w:rsid w:val="001E0FBD"/>
    <w:rsid w:val="00203368"/>
    <w:rsid w:val="0020483E"/>
    <w:rsid w:val="00215BEC"/>
    <w:rsid w:val="00260436"/>
    <w:rsid w:val="0028496E"/>
    <w:rsid w:val="002D3482"/>
    <w:rsid w:val="002D5643"/>
    <w:rsid w:val="003C04D7"/>
    <w:rsid w:val="004008D4"/>
    <w:rsid w:val="0043195C"/>
    <w:rsid w:val="004A7562"/>
    <w:rsid w:val="004F4787"/>
    <w:rsid w:val="00523980"/>
    <w:rsid w:val="005A11B5"/>
    <w:rsid w:val="005C03E3"/>
    <w:rsid w:val="005F2F02"/>
    <w:rsid w:val="005F69C8"/>
    <w:rsid w:val="00602688"/>
    <w:rsid w:val="00635353"/>
    <w:rsid w:val="00671CAE"/>
    <w:rsid w:val="006E65D6"/>
    <w:rsid w:val="006E7047"/>
    <w:rsid w:val="007421A4"/>
    <w:rsid w:val="007D399C"/>
    <w:rsid w:val="0081257A"/>
    <w:rsid w:val="0082201C"/>
    <w:rsid w:val="00834B44"/>
    <w:rsid w:val="008401F1"/>
    <w:rsid w:val="0085279C"/>
    <w:rsid w:val="00870E2F"/>
    <w:rsid w:val="00872FED"/>
    <w:rsid w:val="008A5E4D"/>
    <w:rsid w:val="008C0F5F"/>
    <w:rsid w:val="008E5F8A"/>
    <w:rsid w:val="008F58E4"/>
    <w:rsid w:val="008F612D"/>
    <w:rsid w:val="00931391"/>
    <w:rsid w:val="00954741"/>
    <w:rsid w:val="00955D6C"/>
    <w:rsid w:val="00956E07"/>
    <w:rsid w:val="009B6FE0"/>
    <w:rsid w:val="009C158F"/>
    <w:rsid w:val="009E7C7A"/>
    <w:rsid w:val="00A03411"/>
    <w:rsid w:val="00A21F33"/>
    <w:rsid w:val="00A30A4F"/>
    <w:rsid w:val="00A70BBB"/>
    <w:rsid w:val="00A83099"/>
    <w:rsid w:val="00AD07AA"/>
    <w:rsid w:val="00AD1898"/>
    <w:rsid w:val="00AD5561"/>
    <w:rsid w:val="00B50D75"/>
    <w:rsid w:val="00B613C5"/>
    <w:rsid w:val="00B77EB3"/>
    <w:rsid w:val="00BF5F70"/>
    <w:rsid w:val="00C47491"/>
    <w:rsid w:val="00C80D90"/>
    <w:rsid w:val="00CC1CEE"/>
    <w:rsid w:val="00CE40C7"/>
    <w:rsid w:val="00CE63A1"/>
    <w:rsid w:val="00CF44E8"/>
    <w:rsid w:val="00D3150D"/>
    <w:rsid w:val="00D31D67"/>
    <w:rsid w:val="00DA130F"/>
    <w:rsid w:val="00DB2133"/>
    <w:rsid w:val="00E24690"/>
    <w:rsid w:val="00EA1819"/>
    <w:rsid w:val="00EA2B38"/>
    <w:rsid w:val="00F12D2D"/>
    <w:rsid w:val="00F340D2"/>
    <w:rsid w:val="00F82087"/>
    <w:rsid w:val="00F86DDF"/>
    <w:rsid w:val="00FA3592"/>
    <w:rsid w:val="00FB7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64A84"/>
  <w15:chartTrackingRefBased/>
  <w15:docId w15:val="{482B5BB2-AC01-465C-AF7F-2AD3C6DEC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4176"/>
    <w:pPr>
      <w:keepNext/>
      <w:keepLines/>
      <w:spacing w:after="0" w:line="240" w:lineRule="auto"/>
      <w:jc w:val="center"/>
      <w:outlineLvl w:val="0"/>
    </w:pPr>
    <w:rPr>
      <w:rFonts w:asciiTheme="majorHAnsi" w:eastAsiaTheme="majorEastAsia" w:hAnsiTheme="majorHAnsi" w:cstheme="majorBidi"/>
      <w:b/>
      <w:sz w:val="36"/>
      <w:szCs w:val="40"/>
    </w:rPr>
  </w:style>
  <w:style w:type="paragraph" w:styleId="Heading2">
    <w:name w:val="heading 2"/>
    <w:basedOn w:val="Normal"/>
    <w:next w:val="Normal"/>
    <w:link w:val="Heading2Char"/>
    <w:uiPriority w:val="9"/>
    <w:unhideWhenUsed/>
    <w:qFormat/>
    <w:rsid w:val="004F4787"/>
    <w:pPr>
      <w:keepNext/>
      <w:keepLines/>
      <w:spacing w:after="0" w:line="259" w:lineRule="auto"/>
      <w:jc w:val="center"/>
      <w:outlineLvl w:val="1"/>
    </w:pPr>
    <w:rPr>
      <w:rFonts w:ascii="Arial" w:eastAsiaTheme="majorEastAsia" w:hAnsi="Arial" w:cstheme="majorBidi"/>
      <w:b/>
      <w:sz w:val="28"/>
      <w:szCs w:val="32"/>
    </w:rPr>
  </w:style>
  <w:style w:type="paragraph" w:styleId="Heading3">
    <w:name w:val="heading 3"/>
    <w:basedOn w:val="Normal"/>
    <w:next w:val="Normal"/>
    <w:link w:val="Heading3Char"/>
    <w:uiPriority w:val="9"/>
    <w:unhideWhenUsed/>
    <w:qFormat/>
    <w:rsid w:val="004F4787"/>
    <w:pPr>
      <w:keepNext/>
      <w:keepLines/>
      <w:numPr>
        <w:numId w:val="31"/>
      </w:numPr>
      <w:spacing w:before="240" w:after="120" w:line="259" w:lineRule="auto"/>
      <w:outlineLvl w:val="2"/>
    </w:pPr>
    <w:rPr>
      <w:rFonts w:ascii="Aptos" w:eastAsiaTheme="majorEastAsia" w:hAnsi="Aptos" w:cstheme="majorBidi"/>
      <w:b/>
      <w:color w:val="0F4761" w:themeColor="accent1" w:themeShade="BF"/>
      <w:sz w:val="22"/>
      <w:szCs w:val="28"/>
    </w:rPr>
  </w:style>
  <w:style w:type="paragraph" w:styleId="Heading4">
    <w:name w:val="heading 4"/>
    <w:basedOn w:val="Normal"/>
    <w:next w:val="Normal"/>
    <w:link w:val="Heading4Char"/>
    <w:uiPriority w:val="9"/>
    <w:semiHidden/>
    <w:unhideWhenUsed/>
    <w:qFormat/>
    <w:rsid w:val="00A30A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A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A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A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A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A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176"/>
    <w:rPr>
      <w:rFonts w:asciiTheme="majorHAnsi" w:eastAsiaTheme="majorEastAsia" w:hAnsiTheme="majorHAnsi" w:cstheme="majorBidi"/>
      <w:b/>
      <w:sz w:val="36"/>
      <w:szCs w:val="40"/>
    </w:rPr>
  </w:style>
  <w:style w:type="character" w:customStyle="1" w:styleId="Heading2Char">
    <w:name w:val="Heading 2 Char"/>
    <w:basedOn w:val="DefaultParagraphFont"/>
    <w:link w:val="Heading2"/>
    <w:uiPriority w:val="9"/>
    <w:rsid w:val="004F4787"/>
    <w:rPr>
      <w:rFonts w:ascii="Arial" w:eastAsiaTheme="majorEastAsia" w:hAnsi="Arial" w:cstheme="majorBidi"/>
      <w:b/>
      <w:sz w:val="28"/>
      <w:szCs w:val="32"/>
    </w:rPr>
  </w:style>
  <w:style w:type="character" w:customStyle="1" w:styleId="Heading3Char">
    <w:name w:val="Heading 3 Char"/>
    <w:basedOn w:val="DefaultParagraphFont"/>
    <w:link w:val="Heading3"/>
    <w:uiPriority w:val="9"/>
    <w:rsid w:val="004F4787"/>
    <w:rPr>
      <w:rFonts w:ascii="Aptos" w:eastAsiaTheme="majorEastAsia" w:hAnsi="Aptos" w:cstheme="majorBidi"/>
      <w:b/>
      <w:color w:val="0F4761" w:themeColor="accent1" w:themeShade="BF"/>
      <w:sz w:val="22"/>
      <w:szCs w:val="28"/>
    </w:rPr>
  </w:style>
  <w:style w:type="character" w:customStyle="1" w:styleId="Heading4Char">
    <w:name w:val="Heading 4 Char"/>
    <w:basedOn w:val="DefaultParagraphFont"/>
    <w:link w:val="Heading4"/>
    <w:uiPriority w:val="9"/>
    <w:semiHidden/>
    <w:rsid w:val="00A30A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A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A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A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A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A4F"/>
    <w:rPr>
      <w:rFonts w:eastAsiaTheme="majorEastAsia" w:cstheme="majorBidi"/>
      <w:color w:val="272727" w:themeColor="text1" w:themeTint="D8"/>
    </w:rPr>
  </w:style>
  <w:style w:type="paragraph" w:styleId="Title">
    <w:name w:val="Title"/>
    <w:basedOn w:val="Normal"/>
    <w:next w:val="Normal"/>
    <w:link w:val="TitleChar"/>
    <w:uiPriority w:val="10"/>
    <w:qFormat/>
    <w:rsid w:val="00A30A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A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A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A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A4F"/>
    <w:pPr>
      <w:spacing w:before="160"/>
      <w:jc w:val="center"/>
    </w:pPr>
    <w:rPr>
      <w:i/>
      <w:iCs/>
      <w:color w:val="404040" w:themeColor="text1" w:themeTint="BF"/>
    </w:rPr>
  </w:style>
  <w:style w:type="character" w:customStyle="1" w:styleId="QuoteChar">
    <w:name w:val="Quote Char"/>
    <w:basedOn w:val="DefaultParagraphFont"/>
    <w:link w:val="Quote"/>
    <w:uiPriority w:val="29"/>
    <w:rsid w:val="00A30A4F"/>
    <w:rPr>
      <w:i/>
      <w:iCs/>
      <w:color w:val="404040" w:themeColor="text1" w:themeTint="BF"/>
    </w:rPr>
  </w:style>
  <w:style w:type="paragraph" w:styleId="ListParagraph">
    <w:name w:val="List Paragraph"/>
    <w:basedOn w:val="Normal"/>
    <w:uiPriority w:val="34"/>
    <w:qFormat/>
    <w:rsid w:val="00A30A4F"/>
    <w:pPr>
      <w:ind w:left="720"/>
      <w:contextualSpacing/>
    </w:pPr>
  </w:style>
  <w:style w:type="character" w:styleId="IntenseEmphasis">
    <w:name w:val="Intense Emphasis"/>
    <w:basedOn w:val="DefaultParagraphFont"/>
    <w:uiPriority w:val="21"/>
    <w:qFormat/>
    <w:rsid w:val="00A30A4F"/>
    <w:rPr>
      <w:i/>
      <w:iCs/>
      <w:color w:val="0F4761" w:themeColor="accent1" w:themeShade="BF"/>
    </w:rPr>
  </w:style>
  <w:style w:type="paragraph" w:styleId="IntenseQuote">
    <w:name w:val="Intense Quote"/>
    <w:basedOn w:val="Normal"/>
    <w:next w:val="Normal"/>
    <w:link w:val="IntenseQuoteChar"/>
    <w:uiPriority w:val="30"/>
    <w:qFormat/>
    <w:rsid w:val="00A30A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A4F"/>
    <w:rPr>
      <w:i/>
      <w:iCs/>
      <w:color w:val="0F4761" w:themeColor="accent1" w:themeShade="BF"/>
    </w:rPr>
  </w:style>
  <w:style w:type="character" w:styleId="IntenseReference">
    <w:name w:val="Intense Reference"/>
    <w:basedOn w:val="DefaultParagraphFont"/>
    <w:uiPriority w:val="32"/>
    <w:qFormat/>
    <w:rsid w:val="00A30A4F"/>
    <w:rPr>
      <w:b/>
      <w:bCs/>
      <w:smallCaps/>
      <w:color w:val="0F4761" w:themeColor="accent1" w:themeShade="BF"/>
      <w:spacing w:val="5"/>
    </w:rPr>
  </w:style>
  <w:style w:type="paragraph" w:styleId="BodyText">
    <w:name w:val="Body Text"/>
    <w:basedOn w:val="Normal"/>
    <w:link w:val="BodyTextChar"/>
    <w:uiPriority w:val="1"/>
    <w:qFormat/>
    <w:rsid w:val="00A30A4F"/>
    <w:pPr>
      <w:autoSpaceDE w:val="0"/>
      <w:autoSpaceDN w:val="0"/>
      <w:adjustRightInd w:val="0"/>
      <w:spacing w:before="120" w:after="0" w:line="240" w:lineRule="auto"/>
      <w:ind w:left="838" w:right="112" w:hanging="721"/>
    </w:pPr>
    <w:rPr>
      <w:rFonts w:ascii="Arial" w:hAnsi="Arial" w:cs="Arial"/>
      <w:kern w:val="0"/>
      <w:sz w:val="20"/>
      <w:szCs w:val="20"/>
    </w:rPr>
  </w:style>
  <w:style w:type="character" w:customStyle="1" w:styleId="BodyTextChar">
    <w:name w:val="Body Text Char"/>
    <w:basedOn w:val="DefaultParagraphFont"/>
    <w:link w:val="BodyText"/>
    <w:uiPriority w:val="1"/>
    <w:rsid w:val="00A30A4F"/>
    <w:rPr>
      <w:rFonts w:ascii="Arial" w:hAnsi="Arial" w:cs="Arial"/>
      <w:kern w:val="0"/>
      <w:sz w:val="20"/>
      <w:szCs w:val="20"/>
    </w:rPr>
  </w:style>
  <w:style w:type="paragraph" w:styleId="Header">
    <w:name w:val="header"/>
    <w:basedOn w:val="Normal"/>
    <w:link w:val="HeaderChar"/>
    <w:uiPriority w:val="99"/>
    <w:unhideWhenUsed/>
    <w:rsid w:val="00A30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A4F"/>
  </w:style>
  <w:style w:type="paragraph" w:styleId="Footer">
    <w:name w:val="footer"/>
    <w:basedOn w:val="Normal"/>
    <w:link w:val="FooterChar"/>
    <w:uiPriority w:val="99"/>
    <w:unhideWhenUsed/>
    <w:rsid w:val="00A30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A4F"/>
  </w:style>
  <w:style w:type="paragraph" w:customStyle="1" w:styleId="Default">
    <w:name w:val="Default"/>
    <w:rsid w:val="00A30A4F"/>
    <w:pPr>
      <w:autoSpaceDE w:val="0"/>
      <w:autoSpaceDN w:val="0"/>
      <w:adjustRightInd w:val="0"/>
      <w:spacing w:after="0" w:line="240" w:lineRule="auto"/>
    </w:pPr>
    <w:rPr>
      <w:rFonts w:ascii="Cambria" w:hAnsi="Cambria" w:cs="Cambria"/>
      <w:color w:val="000000"/>
      <w:kern w:val="0"/>
    </w:rPr>
  </w:style>
  <w:style w:type="numbering" w:customStyle="1" w:styleId="NoList1">
    <w:name w:val="No List1"/>
    <w:next w:val="NoList"/>
    <w:uiPriority w:val="99"/>
    <w:semiHidden/>
    <w:unhideWhenUsed/>
    <w:rsid w:val="00870E2F"/>
  </w:style>
  <w:style w:type="paragraph" w:customStyle="1" w:styleId="TableParagraph">
    <w:name w:val="Table Paragraph"/>
    <w:basedOn w:val="Normal"/>
    <w:uiPriority w:val="1"/>
    <w:qFormat/>
    <w:rsid w:val="00870E2F"/>
    <w:pPr>
      <w:autoSpaceDE w:val="0"/>
      <w:autoSpaceDN w:val="0"/>
      <w:adjustRightInd w:val="0"/>
      <w:spacing w:after="0" w:line="240" w:lineRule="auto"/>
    </w:pPr>
    <w:rPr>
      <w:rFonts w:ascii="Times New Roman" w:hAnsi="Times New Roman" w:cs="Times New Roman"/>
      <w:kern w:val="0"/>
    </w:rPr>
  </w:style>
  <w:style w:type="character" w:styleId="Hyperlink">
    <w:name w:val="Hyperlink"/>
    <w:basedOn w:val="DefaultParagraphFont"/>
    <w:uiPriority w:val="99"/>
    <w:unhideWhenUsed/>
    <w:qFormat/>
    <w:rsid w:val="004F4787"/>
    <w:rPr>
      <w:rFonts w:ascii="Aptos" w:hAnsi="Aptos"/>
      <w:i w:val="0"/>
      <w:color w:val="0070C0"/>
      <w:sz w:val="18"/>
      <w:u w:val="single"/>
    </w:rPr>
  </w:style>
  <w:style w:type="character" w:customStyle="1" w:styleId="qstr">
    <w:name w:val="qstr"/>
    <w:basedOn w:val="DefaultParagraphFont"/>
    <w:rsid w:val="009E7C7A"/>
  </w:style>
  <w:style w:type="character" w:styleId="UnresolvedMention">
    <w:name w:val="Unresolved Mention"/>
    <w:basedOn w:val="DefaultParagraphFont"/>
    <w:uiPriority w:val="99"/>
    <w:semiHidden/>
    <w:unhideWhenUsed/>
    <w:rsid w:val="00076263"/>
    <w:rPr>
      <w:color w:val="605E5C"/>
      <w:shd w:val="clear" w:color="auto" w:fill="E1DFDD"/>
    </w:rPr>
  </w:style>
  <w:style w:type="paragraph" w:customStyle="1" w:styleId="Hyperlink8pt">
    <w:name w:val="Hyperlink 8pt"/>
    <w:basedOn w:val="HTMLAddress"/>
    <w:link w:val="Hyperlink8ptChar"/>
    <w:qFormat/>
    <w:rsid w:val="004F4787"/>
    <w:pPr>
      <w:ind w:left="360"/>
    </w:pPr>
    <w:rPr>
      <w:rFonts w:ascii="Aptos" w:hAnsi="Aptos"/>
      <w:i w:val="0"/>
      <w:color w:val="0070C0"/>
      <w:kern w:val="0"/>
      <w:sz w:val="16"/>
      <w:szCs w:val="22"/>
      <w:u w:val="single"/>
      <w14:ligatures w14:val="none"/>
    </w:rPr>
  </w:style>
  <w:style w:type="character" w:customStyle="1" w:styleId="Hyperlink8ptChar">
    <w:name w:val="Hyperlink 8pt Char"/>
    <w:basedOn w:val="HTMLAddressChar"/>
    <w:link w:val="Hyperlink8pt"/>
    <w:rsid w:val="004F4787"/>
    <w:rPr>
      <w:rFonts w:ascii="Aptos" w:hAnsi="Aptos"/>
      <w:i w:val="0"/>
      <w:iCs/>
      <w:color w:val="0070C0"/>
      <w:kern w:val="0"/>
      <w:sz w:val="16"/>
      <w:szCs w:val="22"/>
      <w:u w:val="single"/>
      <w14:ligatures w14:val="none"/>
    </w:rPr>
  </w:style>
  <w:style w:type="paragraph" w:styleId="HTMLAddress">
    <w:name w:val="HTML Address"/>
    <w:basedOn w:val="Normal"/>
    <w:link w:val="HTMLAddressChar"/>
    <w:uiPriority w:val="99"/>
    <w:semiHidden/>
    <w:unhideWhenUsed/>
    <w:rsid w:val="006E7047"/>
    <w:pPr>
      <w:spacing w:after="0" w:line="240" w:lineRule="auto"/>
    </w:pPr>
    <w:rPr>
      <w:i/>
      <w:iCs/>
    </w:rPr>
  </w:style>
  <w:style w:type="character" w:customStyle="1" w:styleId="HTMLAddressChar">
    <w:name w:val="HTML Address Char"/>
    <w:basedOn w:val="DefaultParagraphFont"/>
    <w:link w:val="HTMLAddress"/>
    <w:uiPriority w:val="99"/>
    <w:semiHidden/>
    <w:rsid w:val="006E7047"/>
    <w:rPr>
      <w:i/>
      <w:iCs/>
    </w:rPr>
  </w:style>
  <w:style w:type="character" w:customStyle="1" w:styleId="Heading6ptArialChar">
    <w:name w:val="Heading 6pt Arial Char"/>
    <w:basedOn w:val="DefaultParagraphFont"/>
    <w:link w:val="Heading6ptArial"/>
    <w:locked/>
    <w:rsid w:val="000C4561"/>
    <w:rPr>
      <w:rFonts w:ascii="Arial" w:eastAsiaTheme="majorEastAsia" w:hAnsi="Arial" w:cstheme="majorBidi"/>
      <w:bCs/>
      <w:kern w:val="32"/>
      <w:sz w:val="12"/>
      <w:szCs w:val="32"/>
    </w:rPr>
  </w:style>
  <w:style w:type="paragraph" w:customStyle="1" w:styleId="Heading6ptArial">
    <w:name w:val="Heading 6pt Arial"/>
    <w:basedOn w:val="Heading1"/>
    <w:next w:val="Normal"/>
    <w:link w:val="Heading6ptArialChar"/>
    <w:qFormat/>
    <w:rsid w:val="000C4561"/>
    <w:pPr>
      <w:keepLines w:val="0"/>
    </w:pPr>
    <w:rPr>
      <w:rFonts w:ascii="Arial" w:hAnsi="Arial"/>
      <w:b w:val="0"/>
      <w:bCs/>
      <w:kern w:val="32"/>
      <w:sz w:val="1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367270">
      <w:bodyDiv w:val="1"/>
      <w:marLeft w:val="0"/>
      <w:marRight w:val="0"/>
      <w:marTop w:val="0"/>
      <w:marBottom w:val="0"/>
      <w:divBdr>
        <w:top w:val="none" w:sz="0" w:space="0" w:color="auto"/>
        <w:left w:val="none" w:sz="0" w:space="0" w:color="auto"/>
        <w:bottom w:val="none" w:sz="0" w:space="0" w:color="auto"/>
        <w:right w:val="none" w:sz="0" w:space="0" w:color="auto"/>
      </w:divBdr>
      <w:divsChild>
        <w:div w:id="1749184130">
          <w:marLeft w:val="0"/>
          <w:marRight w:val="0"/>
          <w:marTop w:val="0"/>
          <w:marBottom w:val="0"/>
          <w:divBdr>
            <w:top w:val="none" w:sz="0" w:space="0" w:color="auto"/>
            <w:left w:val="none" w:sz="0" w:space="0" w:color="auto"/>
            <w:bottom w:val="none" w:sz="0" w:space="0" w:color="auto"/>
            <w:right w:val="none" w:sz="0" w:space="0" w:color="auto"/>
          </w:divBdr>
          <w:divsChild>
            <w:div w:id="114912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81972">
      <w:bodyDiv w:val="1"/>
      <w:marLeft w:val="0"/>
      <w:marRight w:val="0"/>
      <w:marTop w:val="0"/>
      <w:marBottom w:val="0"/>
      <w:divBdr>
        <w:top w:val="none" w:sz="0" w:space="0" w:color="auto"/>
        <w:left w:val="none" w:sz="0" w:space="0" w:color="auto"/>
        <w:bottom w:val="none" w:sz="0" w:space="0" w:color="auto"/>
        <w:right w:val="none" w:sz="0" w:space="0" w:color="auto"/>
      </w:divBdr>
      <w:divsChild>
        <w:div w:id="1476992358">
          <w:marLeft w:val="0"/>
          <w:marRight w:val="0"/>
          <w:marTop w:val="0"/>
          <w:marBottom w:val="0"/>
          <w:divBdr>
            <w:top w:val="none" w:sz="0" w:space="0" w:color="auto"/>
            <w:left w:val="none" w:sz="0" w:space="0" w:color="auto"/>
            <w:bottom w:val="none" w:sz="0" w:space="0" w:color="auto"/>
            <w:right w:val="none" w:sz="0" w:space="0" w:color="auto"/>
          </w:divBdr>
        </w:div>
        <w:div w:id="1880700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cfr.gov/current/title-3/part-1964" TargetMode="External"/><Relationship Id="rId21" Type="http://schemas.openxmlformats.org/officeDocument/2006/relationships/hyperlink" Target="https://www.ecfr.gov/current/title-41/section-60-1.3" TargetMode="External"/><Relationship Id="rId42" Type="http://schemas.openxmlformats.org/officeDocument/2006/relationships/hyperlink" Target="https://docs.legis.wisconsin.gov/code/admin_code/adm/82/22" TargetMode="External"/><Relationship Id="rId47" Type="http://schemas.openxmlformats.org/officeDocument/2006/relationships/hyperlink" Target="https://supplierdiversity.wi.gov/Pages/Home.aspx" TargetMode="External"/><Relationship Id="rId63" Type="http://schemas.openxmlformats.org/officeDocument/2006/relationships/footer" Target="footer3.xml"/><Relationship Id="rId68" Type="http://schemas.openxmlformats.org/officeDocument/2006/relationships/customXml" Target="../customXml/item3.xml"/><Relationship Id="rId7" Type="http://schemas.openxmlformats.org/officeDocument/2006/relationships/hyperlink" Target="https://www.ecfr.gov/current/title-24/subtitle-B/chapter-V/subchapter-C/part-570" TargetMode="External"/><Relationship Id="rId2" Type="http://schemas.openxmlformats.org/officeDocument/2006/relationships/styles" Target="styles.xml"/><Relationship Id="rId16" Type="http://schemas.openxmlformats.org/officeDocument/2006/relationships/hyperlink" Target="https://www.justice.gov/crt/fcs/TitleVI-Overview" TargetMode="External"/><Relationship Id="rId29" Type="http://schemas.openxmlformats.org/officeDocument/2006/relationships/hyperlink" Target="https://www.ecfr.gov/current/title-41/part-60" TargetMode="External"/><Relationship Id="rId11" Type="http://schemas.openxmlformats.org/officeDocument/2006/relationships/hyperlink" Target="https://www.ecfr.gov/current/title-3" TargetMode="External"/><Relationship Id="rId24" Type="http://schemas.openxmlformats.org/officeDocument/2006/relationships/hyperlink" Target="https://www.federalregister.gov/citation/30-FR-12319" TargetMode="External"/><Relationship Id="rId32" Type="http://schemas.openxmlformats.org/officeDocument/2006/relationships/footer" Target="footer1.xml"/><Relationship Id="rId37" Type="http://schemas.openxmlformats.org/officeDocument/2006/relationships/hyperlink" Target="https://docs.legis.wisconsin.gov/statutes/statutes/16/i/287" TargetMode="External"/><Relationship Id="rId40" Type="http://schemas.openxmlformats.org/officeDocument/2006/relationships/hyperlink" Target="https://www.federalregister.gov/documents/2022/11/29/2022-25508/veteran-owned-small-business-and-service-disabled-veteran-owned-small-business-certification" TargetMode="External"/><Relationship Id="rId45" Type="http://schemas.openxmlformats.org/officeDocument/2006/relationships/hyperlink" Target="https://www.dol.gov/agencies/eta/lsa" TargetMode="External"/><Relationship Id="rId53" Type="http://schemas.openxmlformats.org/officeDocument/2006/relationships/hyperlink" Target="https://docs.legis.wisconsin.gov/document/statutes/111.32(13m)" TargetMode="External"/><Relationship Id="rId58" Type="http://schemas.openxmlformats.org/officeDocument/2006/relationships/hyperlink" Target="https://docs.legis.wisconsin.gov/statutes/statutes/16/iv/765" TargetMode="External"/><Relationship Id="rId66" Type="http://schemas.openxmlformats.org/officeDocument/2006/relationships/customXml" Target="../customXml/item1.xml"/><Relationship Id="rId5" Type="http://schemas.openxmlformats.org/officeDocument/2006/relationships/footnotes" Target="footnotes.xml"/><Relationship Id="rId61" Type="http://schemas.openxmlformats.org/officeDocument/2006/relationships/hyperlink" Target="https://docs.legis.wisconsin.gov/document/administrativecode/ch.%20Adm%2050" TargetMode="External"/><Relationship Id="rId19" Type="http://schemas.openxmlformats.org/officeDocument/2006/relationships/hyperlink" Target="https://www.ecfr.gov/current/title-2/appendix-Appendix%20II%20to%20Part%20200" TargetMode="External"/><Relationship Id="rId14" Type="http://schemas.openxmlformats.org/officeDocument/2006/relationships/hyperlink" Target="https://www.ecfr.gov/current/title-3" TargetMode="External"/><Relationship Id="rId22" Type="http://schemas.openxmlformats.org/officeDocument/2006/relationships/hyperlink" Target="https://www.ecfr.gov/current/title-41/section-60-1.4" TargetMode="External"/><Relationship Id="rId27" Type="http://schemas.openxmlformats.org/officeDocument/2006/relationships/hyperlink" Target="https://www.federalregister.gov/executive-order/11375" TargetMode="External"/><Relationship Id="rId30" Type="http://schemas.openxmlformats.org/officeDocument/2006/relationships/hyperlink" Target="https://www.ecfr.gov/current/title-41/chapter-60" TargetMode="External"/><Relationship Id="rId35" Type="http://schemas.openxmlformats.org/officeDocument/2006/relationships/hyperlink" Target="http://www.ntis.gov/products/naics.aspx" TargetMode="External"/><Relationship Id="rId43" Type="http://schemas.openxmlformats.org/officeDocument/2006/relationships/hyperlink" Target="https://www.sba.gov/federal-contracting/contracting-assistance-programs/veteran-contracting-assistance-programs" TargetMode="External"/><Relationship Id="rId48" Type="http://schemas.openxmlformats.org/officeDocument/2006/relationships/hyperlink" Target="https://supplierdiversity.wi.gov/Pages/Home.aspx" TargetMode="External"/><Relationship Id="rId56" Type="http://schemas.openxmlformats.org/officeDocument/2006/relationships/hyperlink" Target="https://docs.legis.wisconsin.gov/document/statutes/16.765(2)" TargetMode="External"/><Relationship Id="rId64" Type="http://schemas.openxmlformats.org/officeDocument/2006/relationships/fontTable" Target="fontTable.xml"/><Relationship Id="rId69" Type="http://schemas.openxmlformats.org/officeDocument/2006/relationships/customXml" Target="../customXml/item4.xml"/><Relationship Id="rId8" Type="http://schemas.openxmlformats.org/officeDocument/2006/relationships/hyperlink" Target="https://www.ecfr.gov/current/title-3" TargetMode="External"/><Relationship Id="rId51" Type="http://schemas.openxmlformats.org/officeDocument/2006/relationships/hyperlink" Target="https://docs.legis.wisconsin.gov/statutes/statutes/16/iv/765" TargetMode="External"/><Relationship Id="rId3" Type="http://schemas.openxmlformats.org/officeDocument/2006/relationships/settings" Target="settings.xml"/><Relationship Id="rId12" Type="http://schemas.openxmlformats.org/officeDocument/2006/relationships/hyperlink" Target="https://www.ecfr.gov/current/title-3" TargetMode="External"/><Relationship Id="rId17" Type="http://schemas.openxmlformats.org/officeDocument/2006/relationships/hyperlink" Target="https://www.ecfr.gov/current/title-31/subtitle-A/part-22" TargetMode="External"/><Relationship Id="rId25" Type="http://schemas.openxmlformats.org/officeDocument/2006/relationships/hyperlink" Target="https://www.federalregister.gov/citation/30-FR-12935" TargetMode="External"/><Relationship Id="rId33" Type="http://schemas.openxmlformats.org/officeDocument/2006/relationships/hyperlink" Target="https://www.ecfr.gov/current/title-2/section-200.321" TargetMode="External"/><Relationship Id="rId38" Type="http://schemas.openxmlformats.org/officeDocument/2006/relationships/hyperlink" Target="https://docs.legis.wisconsin.gov/code/admin_code/adm/84/02" TargetMode="External"/><Relationship Id="rId46" Type="http://schemas.openxmlformats.org/officeDocument/2006/relationships/hyperlink" Target="https://www.dol.gov/agencies/eta/lsa" TargetMode="External"/><Relationship Id="rId59" Type="http://schemas.openxmlformats.org/officeDocument/2006/relationships/hyperlink" Target="https://docs.legis.wisconsin.gov/document/statutes/subch.%20II%20of%20ch.%20111" TargetMode="External"/><Relationship Id="rId67" Type="http://schemas.openxmlformats.org/officeDocument/2006/relationships/customXml" Target="../customXml/item2.xml"/><Relationship Id="rId20" Type="http://schemas.openxmlformats.org/officeDocument/2006/relationships/hyperlink" Target="https://www.ecfr.gov/current/title-41/part-60" TargetMode="External"/><Relationship Id="rId41" Type="http://schemas.openxmlformats.org/officeDocument/2006/relationships/hyperlink" Target="https://docs.legis.wisconsin.gov/statutes/statutes/16/i/283" TargetMode="External"/><Relationship Id="rId54" Type="http://schemas.openxmlformats.org/officeDocument/2006/relationships/hyperlink" Target="https://docs.legis.wisconsin.gov/document/statutes/51.01(5)" TargetMode="External"/><Relationship Id="rId62"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ecfr.gov/current/title-41/chapter-60" TargetMode="External"/><Relationship Id="rId23" Type="http://schemas.openxmlformats.org/officeDocument/2006/relationships/hyperlink" Target="https://www.federalregister.gov/executive-order/11246" TargetMode="External"/><Relationship Id="rId28" Type="http://schemas.openxmlformats.org/officeDocument/2006/relationships/hyperlink" Target="https://www.federalregister.gov/executive-order/11246" TargetMode="External"/><Relationship Id="rId36" Type="http://schemas.openxmlformats.org/officeDocument/2006/relationships/hyperlink" Target="https://dsbs.sba.gov/search/dsp_dsbs.cfm;jsessionid=61A3B0BCD43029504CCE3865F221C0D9.cfusion?CFID=170340&amp;CFTOKEN=612094beebab94f7-6526C72A-A74A-ADC3-C8E28986A6465A6B" TargetMode="External"/><Relationship Id="rId49" Type="http://schemas.openxmlformats.org/officeDocument/2006/relationships/hyperlink" Target="https://supplierdiversity.wi.gov/Pages/Home.aspx" TargetMode="External"/><Relationship Id="rId57" Type="http://schemas.openxmlformats.org/officeDocument/2006/relationships/hyperlink" Target="https://docs.legis.wisconsin.gov/statutes/statutes/16/iv/765" TargetMode="External"/><Relationship Id="rId10" Type="http://schemas.openxmlformats.org/officeDocument/2006/relationships/hyperlink" Target="https://www.ecfr.gov/current/title-3" TargetMode="External"/><Relationship Id="rId31" Type="http://schemas.openxmlformats.org/officeDocument/2006/relationships/header" Target="header1.xml"/><Relationship Id="rId44" Type="http://schemas.openxmlformats.org/officeDocument/2006/relationships/hyperlink" Target="https://www.federalregister.gov/documents/2022/11/29/2022-25508/veteran-owned-small-business-and-service-disabled-veteran-owned-small-business-certification" TargetMode="External"/><Relationship Id="rId52" Type="http://schemas.openxmlformats.org/officeDocument/2006/relationships/hyperlink" Target="https://docs.legis.wisconsin.gov/document/statutes/51.01(5)" TargetMode="External"/><Relationship Id="rId60" Type="http://schemas.openxmlformats.org/officeDocument/2006/relationships/hyperlink" Target="mailto:DOADEOSBOPPrograms@wisconsin.gov"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cfr.gov/current/title-3" TargetMode="External"/><Relationship Id="rId13" Type="http://schemas.openxmlformats.org/officeDocument/2006/relationships/hyperlink" Target="https://www.federalregister.gov/citation/67-FR-77141" TargetMode="External"/><Relationship Id="rId18" Type="http://schemas.openxmlformats.org/officeDocument/2006/relationships/hyperlink" Target="https://www.justice.gov/crt/fcs/TitleVI-Overview" TargetMode="External"/><Relationship Id="rId39" Type="http://schemas.openxmlformats.org/officeDocument/2006/relationships/hyperlink" Target="https://www.sba.gov/federal-contracting/contracting-assistance-programs/veteran-contracting-assistance-programs" TargetMode="External"/><Relationship Id="rId34" Type="http://schemas.openxmlformats.org/officeDocument/2006/relationships/hyperlink" Target="https://www.ecfr.gov/current/title-13/section-121.101" TargetMode="External"/><Relationship Id="rId50" Type="http://schemas.openxmlformats.org/officeDocument/2006/relationships/footer" Target="footer2.xml"/><Relationship Id="rId55" Type="http://schemas.openxmlformats.org/officeDocument/2006/relationships/hyperlink" Target="https://docs.legis.wisconsin.gov/document/statutes/16.76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3" ma:contentTypeDescription="Create a new document." ma:contentTypeScope="" ma:versionID="2c0cfb9036ddf3786d6838e4bac4c8ad">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26174d1c9a6f8b4f9f463a4353b10b58"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CB558F6-C4A8-478F-BB5A-E82934AB1F7A}"/>
</file>

<file path=customXml/itemProps2.xml><?xml version="1.0" encoding="utf-8"?>
<ds:datastoreItem xmlns:ds="http://schemas.openxmlformats.org/officeDocument/2006/customXml" ds:itemID="{881F96E2-C9B8-42AC-9BEC-0E02B0A3A163}"/>
</file>

<file path=customXml/itemProps3.xml><?xml version="1.0" encoding="utf-8"?>
<ds:datastoreItem xmlns:ds="http://schemas.openxmlformats.org/officeDocument/2006/customXml" ds:itemID="{65E24C2D-F881-41C2-B81A-CAFDD3B5B465}"/>
</file>

<file path=customXml/itemProps4.xml><?xml version="1.0" encoding="utf-8"?>
<ds:datastoreItem xmlns:ds="http://schemas.openxmlformats.org/officeDocument/2006/customXml" ds:itemID="{BE01AD0F-4965-4DD7-BA2C-8D946B532F1A}"/>
</file>

<file path=docProps/app.xml><?xml version="1.0" encoding="utf-8"?>
<Properties xmlns="http://schemas.openxmlformats.org/officeDocument/2006/extended-properties" xmlns:vt="http://schemas.openxmlformats.org/officeDocument/2006/docPropsVTypes">
  <Template>Normal</Template>
  <TotalTime>5</TotalTime>
  <Pages>8</Pages>
  <Words>4351</Words>
  <Characters>24804</Characters>
  <Application>Microsoft Office Word</Application>
  <DocSecurity>8</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Angela - DOA</dc:creator>
  <cp:keywords/>
  <dc:description/>
  <cp:lastModifiedBy>Larsen, Samantha - DOA</cp:lastModifiedBy>
  <cp:revision>5</cp:revision>
  <dcterms:created xsi:type="dcterms:W3CDTF">2026-07-28T00:11:00Z</dcterms:created>
  <dcterms:modified xsi:type="dcterms:W3CDTF">2026-07-28T18:40:00Z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